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3CAD" w14:textId="05441691" w:rsidR="00466E8C" w:rsidRPr="00434E19" w:rsidRDefault="00466E8C" w:rsidP="00434E19">
      <w:pPr>
        <w:spacing w:after="240" w:line="276" w:lineRule="auto"/>
        <w:rPr>
          <w:rFonts w:ascii="Arial" w:eastAsia="Times New Roman" w:hAnsi="Arial" w:cs="Arial"/>
          <w:bCs/>
          <w:kern w:val="0"/>
          <w:sz w:val="20"/>
          <w:szCs w:val="24"/>
          <w:lang w:eastAsia="pl-PL"/>
          <w14:ligatures w14:val="none"/>
        </w:rPr>
      </w:pPr>
      <w:r w:rsidRPr="00466E8C">
        <w:rPr>
          <w:rFonts w:ascii="Arial" w:eastAsia="Times New Roman" w:hAnsi="Arial" w:cs="Arial"/>
          <w:color w:val="000000"/>
          <w:kern w:val="0"/>
          <w:sz w:val="24"/>
          <w:szCs w:val="24"/>
          <w:lang w:eastAsia="pl-PL"/>
          <w14:ligatures w14:val="none"/>
        </w:rPr>
        <w:tab/>
      </w:r>
      <w:r w:rsidRPr="00466E8C">
        <w:rPr>
          <w:rFonts w:ascii="Arial" w:eastAsia="Times New Roman" w:hAnsi="Arial" w:cs="Arial"/>
          <w:color w:val="000000"/>
          <w:kern w:val="0"/>
          <w:sz w:val="24"/>
          <w:szCs w:val="24"/>
          <w:lang w:eastAsia="pl-PL"/>
          <w14:ligatures w14:val="none"/>
        </w:rPr>
        <w:tab/>
      </w:r>
      <w:r w:rsidRPr="00466E8C">
        <w:rPr>
          <w:rFonts w:ascii="Arial" w:eastAsia="Times New Roman" w:hAnsi="Arial" w:cs="Arial"/>
          <w:color w:val="000000"/>
          <w:kern w:val="0"/>
          <w:sz w:val="24"/>
          <w:szCs w:val="24"/>
          <w:lang w:eastAsia="pl-PL"/>
          <w14:ligatures w14:val="none"/>
        </w:rPr>
        <w:tab/>
      </w:r>
      <w:r w:rsidRPr="00466E8C">
        <w:rPr>
          <w:rFonts w:ascii="Arial" w:eastAsia="Times New Roman" w:hAnsi="Arial" w:cs="Arial"/>
          <w:color w:val="000000"/>
          <w:kern w:val="0"/>
          <w:sz w:val="24"/>
          <w:szCs w:val="24"/>
          <w:lang w:eastAsia="pl-PL"/>
          <w14:ligatures w14:val="none"/>
        </w:rPr>
        <w:tab/>
      </w:r>
      <w:r w:rsidRPr="00466E8C">
        <w:rPr>
          <w:rFonts w:ascii="Arial" w:eastAsia="Times New Roman" w:hAnsi="Arial" w:cs="Arial"/>
          <w:b/>
          <w:color w:val="000000"/>
          <w:kern w:val="0"/>
          <w:sz w:val="24"/>
          <w:szCs w:val="24"/>
          <w:lang w:eastAsia="pl-PL"/>
          <w14:ligatures w14:val="none"/>
        </w:rPr>
        <w:t xml:space="preserve">                      </w:t>
      </w:r>
      <w:r>
        <w:rPr>
          <w:rFonts w:ascii="Arial" w:eastAsia="Times New Roman" w:hAnsi="Arial" w:cs="Arial"/>
          <w:b/>
          <w:color w:val="000000"/>
          <w:kern w:val="0"/>
          <w:sz w:val="24"/>
          <w:szCs w:val="24"/>
          <w:lang w:eastAsia="pl-PL"/>
          <w14:ligatures w14:val="none"/>
        </w:rPr>
        <w:tab/>
      </w:r>
      <w:r>
        <w:rPr>
          <w:rFonts w:ascii="Arial" w:eastAsia="Times New Roman" w:hAnsi="Arial" w:cs="Arial"/>
          <w:b/>
          <w:color w:val="000000"/>
          <w:kern w:val="0"/>
          <w:sz w:val="24"/>
          <w:szCs w:val="24"/>
          <w:lang w:eastAsia="pl-PL"/>
          <w14:ligatures w14:val="none"/>
        </w:rPr>
        <w:tab/>
      </w:r>
      <w:r>
        <w:rPr>
          <w:rFonts w:ascii="Arial" w:eastAsia="Times New Roman" w:hAnsi="Arial" w:cs="Arial"/>
          <w:b/>
          <w:color w:val="000000"/>
          <w:kern w:val="0"/>
          <w:sz w:val="24"/>
          <w:szCs w:val="24"/>
          <w:lang w:eastAsia="pl-PL"/>
          <w14:ligatures w14:val="none"/>
        </w:rPr>
        <w:tab/>
      </w:r>
      <w:r>
        <w:rPr>
          <w:rFonts w:ascii="Arial" w:eastAsia="Times New Roman" w:hAnsi="Arial" w:cs="Arial"/>
          <w:b/>
          <w:color w:val="000000"/>
          <w:kern w:val="0"/>
          <w:sz w:val="24"/>
          <w:szCs w:val="24"/>
          <w:lang w:eastAsia="pl-PL"/>
          <w14:ligatures w14:val="none"/>
        </w:rPr>
        <w:tab/>
      </w:r>
      <w:r>
        <w:rPr>
          <w:rFonts w:ascii="Arial" w:eastAsia="Times New Roman" w:hAnsi="Arial" w:cs="Arial"/>
          <w:b/>
          <w:color w:val="000000"/>
          <w:kern w:val="0"/>
          <w:sz w:val="24"/>
          <w:szCs w:val="24"/>
          <w:lang w:eastAsia="pl-PL"/>
          <w14:ligatures w14:val="none"/>
        </w:rPr>
        <w:tab/>
      </w:r>
      <w:r w:rsidRPr="00466E8C">
        <w:rPr>
          <w:rFonts w:ascii="Arial" w:eastAsia="Times New Roman" w:hAnsi="Arial" w:cs="Arial"/>
          <w:bCs/>
          <w:i/>
          <w:iCs/>
          <w:color w:val="000000"/>
          <w:kern w:val="0"/>
          <w:sz w:val="24"/>
          <w:szCs w:val="24"/>
          <w:lang w:eastAsia="pl-PL"/>
          <w14:ligatures w14:val="none"/>
        </w:rPr>
        <w:t>PROJEKT</w:t>
      </w:r>
      <w:r w:rsidR="00434E19" w:rsidRPr="00434E19">
        <w:rPr>
          <w:rFonts w:ascii="Arial" w:eastAsia="Times New Roman" w:hAnsi="Arial" w:cs="Arial"/>
          <w:bCs/>
          <w:kern w:val="0"/>
          <w:sz w:val="20"/>
          <w:szCs w:val="24"/>
          <w:lang w:eastAsia="pl-PL"/>
          <w14:ligatures w14:val="none"/>
        </w:rPr>
        <w:t xml:space="preserve"> </w:t>
      </w:r>
    </w:p>
    <w:p w14:paraId="6974A3FE" w14:textId="77777777" w:rsidR="00466E8C" w:rsidRPr="00466E8C" w:rsidRDefault="00466E8C" w:rsidP="00466E8C">
      <w:pPr>
        <w:spacing w:after="0" w:line="288" w:lineRule="auto"/>
        <w:jc w:val="center"/>
        <w:rPr>
          <w:rFonts w:ascii="Arial" w:eastAsia="Times New Roman" w:hAnsi="Arial" w:cs="Arial"/>
          <w:b/>
          <w:color w:val="000000"/>
          <w:kern w:val="0"/>
          <w:sz w:val="24"/>
          <w:szCs w:val="24"/>
          <w:lang w:eastAsia="pl-PL"/>
          <w14:ligatures w14:val="none"/>
        </w:rPr>
      </w:pPr>
    </w:p>
    <w:p w14:paraId="3AC43DBC" w14:textId="77777777" w:rsidR="00466E8C" w:rsidRPr="00466E8C" w:rsidRDefault="00466E8C" w:rsidP="00466E8C">
      <w:pPr>
        <w:spacing w:after="0" w:line="288" w:lineRule="auto"/>
        <w:jc w:val="center"/>
        <w:rPr>
          <w:rFonts w:ascii="Arial" w:eastAsia="Times New Roman" w:hAnsi="Arial" w:cs="Arial"/>
          <w:b/>
          <w:color w:val="000000"/>
          <w:kern w:val="0"/>
          <w:sz w:val="24"/>
          <w:szCs w:val="24"/>
          <w:lang w:eastAsia="pl-PL"/>
          <w14:ligatures w14:val="none"/>
        </w:rPr>
      </w:pPr>
    </w:p>
    <w:p w14:paraId="158135CF" w14:textId="67325253" w:rsidR="00466E8C" w:rsidRPr="00466E8C" w:rsidRDefault="00466E8C" w:rsidP="00466E8C">
      <w:pPr>
        <w:spacing w:after="0" w:line="288" w:lineRule="auto"/>
        <w:jc w:val="center"/>
        <w:rPr>
          <w:rFonts w:ascii="Arial" w:eastAsia="Times New Roman" w:hAnsi="Arial" w:cs="Arial"/>
          <w:b/>
          <w:color w:val="000000"/>
          <w:kern w:val="0"/>
          <w:sz w:val="24"/>
          <w:szCs w:val="24"/>
          <w:lang w:eastAsia="pl-PL"/>
          <w14:ligatures w14:val="none"/>
        </w:rPr>
      </w:pPr>
      <w:r w:rsidRPr="00466E8C">
        <w:rPr>
          <w:rFonts w:ascii="Arial" w:eastAsia="Times New Roman" w:hAnsi="Arial" w:cs="Arial"/>
          <w:b/>
          <w:color w:val="000000"/>
          <w:kern w:val="0"/>
          <w:sz w:val="24"/>
          <w:szCs w:val="24"/>
          <w:lang w:eastAsia="pl-PL"/>
          <w14:ligatures w14:val="none"/>
        </w:rPr>
        <w:t>Uchwała Nr ………. / ………. /2</w:t>
      </w:r>
      <w:r w:rsidR="00434E19">
        <w:rPr>
          <w:rFonts w:ascii="Arial" w:eastAsia="Times New Roman" w:hAnsi="Arial" w:cs="Arial"/>
          <w:b/>
          <w:color w:val="000000"/>
          <w:kern w:val="0"/>
          <w:sz w:val="24"/>
          <w:szCs w:val="24"/>
          <w:lang w:eastAsia="pl-PL"/>
          <w14:ligatures w14:val="none"/>
        </w:rPr>
        <w:t>4</w:t>
      </w:r>
    </w:p>
    <w:p w14:paraId="18F9F7E1" w14:textId="77777777" w:rsidR="00466E8C" w:rsidRPr="00466E8C" w:rsidRDefault="00466E8C" w:rsidP="00466E8C">
      <w:pPr>
        <w:spacing w:after="0" w:line="288" w:lineRule="auto"/>
        <w:jc w:val="center"/>
        <w:rPr>
          <w:rFonts w:ascii="Arial" w:eastAsia="Times New Roman" w:hAnsi="Arial" w:cs="Arial"/>
          <w:b/>
          <w:color w:val="000000"/>
          <w:kern w:val="0"/>
          <w:sz w:val="24"/>
          <w:szCs w:val="24"/>
          <w:lang w:eastAsia="pl-PL"/>
          <w14:ligatures w14:val="none"/>
        </w:rPr>
      </w:pPr>
      <w:r w:rsidRPr="00466E8C">
        <w:rPr>
          <w:rFonts w:ascii="Arial" w:eastAsia="Times New Roman" w:hAnsi="Arial" w:cs="Arial"/>
          <w:b/>
          <w:color w:val="000000"/>
          <w:kern w:val="0"/>
          <w:sz w:val="24"/>
          <w:szCs w:val="24"/>
          <w:lang w:eastAsia="pl-PL"/>
          <w14:ligatures w14:val="none"/>
        </w:rPr>
        <w:t>SEJMIKU WOJEWÓDZTWA PODKARPACKIEGO</w:t>
      </w:r>
    </w:p>
    <w:p w14:paraId="48A736A0" w14:textId="786F7EFC" w:rsidR="00466E8C" w:rsidRDefault="00466E8C" w:rsidP="00466E8C">
      <w:pPr>
        <w:spacing w:after="0" w:line="288" w:lineRule="auto"/>
        <w:jc w:val="center"/>
        <w:rPr>
          <w:rFonts w:ascii="Arial" w:eastAsia="Times New Roman" w:hAnsi="Arial" w:cs="Arial"/>
          <w:b/>
          <w:color w:val="000000"/>
          <w:kern w:val="0"/>
          <w:sz w:val="24"/>
          <w:szCs w:val="24"/>
          <w:lang w:eastAsia="pl-PL"/>
          <w14:ligatures w14:val="none"/>
        </w:rPr>
      </w:pPr>
      <w:r w:rsidRPr="00466E8C">
        <w:rPr>
          <w:rFonts w:ascii="Arial" w:eastAsia="Times New Roman" w:hAnsi="Arial" w:cs="Arial"/>
          <w:b/>
          <w:color w:val="000000"/>
          <w:kern w:val="0"/>
          <w:sz w:val="24"/>
          <w:szCs w:val="24"/>
          <w:lang w:eastAsia="pl-PL"/>
          <w14:ligatures w14:val="none"/>
        </w:rPr>
        <w:t>z dnia ………………………. 202</w:t>
      </w:r>
      <w:r w:rsidR="00434E19">
        <w:rPr>
          <w:rFonts w:ascii="Arial" w:eastAsia="Times New Roman" w:hAnsi="Arial" w:cs="Arial"/>
          <w:b/>
          <w:color w:val="000000"/>
          <w:kern w:val="0"/>
          <w:sz w:val="24"/>
          <w:szCs w:val="24"/>
          <w:lang w:eastAsia="pl-PL"/>
          <w14:ligatures w14:val="none"/>
        </w:rPr>
        <w:t>4</w:t>
      </w:r>
      <w:r w:rsidRPr="00466E8C">
        <w:rPr>
          <w:rFonts w:ascii="Arial" w:eastAsia="Times New Roman" w:hAnsi="Arial" w:cs="Arial"/>
          <w:b/>
          <w:color w:val="000000"/>
          <w:kern w:val="0"/>
          <w:sz w:val="24"/>
          <w:szCs w:val="24"/>
          <w:lang w:eastAsia="pl-PL"/>
          <w14:ligatures w14:val="none"/>
        </w:rPr>
        <w:t xml:space="preserve"> r.</w:t>
      </w:r>
    </w:p>
    <w:p w14:paraId="686782B4" w14:textId="77777777" w:rsidR="004F3EF3" w:rsidRPr="00466E8C" w:rsidRDefault="004F3EF3" w:rsidP="00466E8C">
      <w:pPr>
        <w:spacing w:after="0" w:line="288" w:lineRule="auto"/>
        <w:jc w:val="center"/>
        <w:rPr>
          <w:rFonts w:ascii="Arial" w:eastAsia="Times New Roman" w:hAnsi="Arial" w:cs="Arial"/>
          <w:b/>
          <w:color w:val="000000"/>
          <w:kern w:val="0"/>
          <w:sz w:val="24"/>
          <w:szCs w:val="24"/>
          <w:lang w:eastAsia="pl-PL"/>
          <w14:ligatures w14:val="none"/>
        </w:rPr>
      </w:pPr>
    </w:p>
    <w:p w14:paraId="348DBF1D" w14:textId="5448B888" w:rsidR="00466E8C" w:rsidRPr="00466E8C" w:rsidRDefault="00466E8C" w:rsidP="004F3EF3">
      <w:pPr>
        <w:spacing w:after="0" w:line="288" w:lineRule="auto"/>
        <w:jc w:val="both"/>
        <w:rPr>
          <w:rFonts w:ascii="Arial" w:eastAsia="Times New Roman" w:hAnsi="Arial" w:cs="Arial"/>
          <w:b/>
          <w:kern w:val="0"/>
          <w:sz w:val="24"/>
          <w:szCs w:val="24"/>
          <w:lang w:eastAsia="pl-PL"/>
          <w14:ligatures w14:val="none"/>
        </w:rPr>
      </w:pPr>
      <w:r w:rsidRPr="00466E8C">
        <w:rPr>
          <w:rFonts w:ascii="Arial" w:eastAsia="Times New Roman" w:hAnsi="Arial" w:cs="Times New Roman"/>
          <w:b/>
          <w:kern w:val="0"/>
          <w:sz w:val="24"/>
          <w:szCs w:val="24"/>
          <w:lang w:eastAsia="pl-PL"/>
          <w14:ligatures w14:val="none"/>
        </w:rPr>
        <w:t xml:space="preserve">w sprawie </w:t>
      </w:r>
      <w:r w:rsidR="004F3EF3">
        <w:rPr>
          <w:rFonts w:ascii="Arial" w:eastAsia="Times New Roman" w:hAnsi="Arial" w:cs="Times New Roman"/>
          <w:b/>
          <w:kern w:val="0"/>
          <w:sz w:val="24"/>
          <w:szCs w:val="24"/>
          <w:lang w:eastAsia="pl-PL"/>
          <w14:ligatures w14:val="none"/>
        </w:rPr>
        <w:t>przyjęcia Stanowiska Sejmiku Województwa Podkarpackiego – apelu do Prokuratury – Prokuratora Generalnego Rzeczypospolitej Polskiej –                      o podjęcie pilnych działań w sprawach związanych z działalnością Sejmiku Województwa Podkarpackiego, których wyjaśnienie było blokowane w  czasach rządów PiS</w:t>
      </w:r>
    </w:p>
    <w:p w14:paraId="3CE98F15" w14:textId="7A2FCC25" w:rsidR="00466E8C" w:rsidRPr="00466E8C" w:rsidRDefault="00466E8C" w:rsidP="00466E8C">
      <w:pPr>
        <w:spacing w:after="0" w:line="288" w:lineRule="auto"/>
        <w:jc w:val="both"/>
        <w:rPr>
          <w:rFonts w:ascii="A" w:eastAsia="Calibri" w:hAnsi="A" w:cs="A"/>
          <w:kern w:val="0"/>
          <w:sz w:val="20"/>
          <w:szCs w:val="20"/>
          <w:lang w:eastAsia="pl-PL"/>
          <w14:ligatures w14:val="none"/>
        </w:rPr>
      </w:pPr>
      <w:r w:rsidRPr="00466E8C">
        <w:rPr>
          <w:rFonts w:ascii="Arial" w:eastAsia="Times New Roman" w:hAnsi="Arial" w:cs="Arial"/>
          <w:kern w:val="0"/>
          <w:sz w:val="24"/>
          <w:szCs w:val="24"/>
          <w:lang w:eastAsia="pl-PL"/>
          <w14:ligatures w14:val="none"/>
        </w:rPr>
        <w:t xml:space="preserve">Na podstawie art. 18 pkt </w:t>
      </w:r>
      <w:r w:rsidR="004F3EF3">
        <w:rPr>
          <w:rFonts w:ascii="Arial" w:eastAsia="Times New Roman" w:hAnsi="Arial" w:cs="Arial"/>
          <w:kern w:val="0"/>
          <w:sz w:val="24"/>
          <w:szCs w:val="24"/>
          <w:lang w:eastAsia="pl-PL"/>
          <w14:ligatures w14:val="none"/>
        </w:rPr>
        <w:t>20</w:t>
      </w:r>
      <w:r w:rsidRPr="00466E8C">
        <w:rPr>
          <w:rFonts w:ascii="Arial" w:eastAsia="Times New Roman" w:hAnsi="Arial" w:cs="Arial"/>
          <w:kern w:val="0"/>
          <w:sz w:val="24"/>
          <w:szCs w:val="24"/>
          <w:lang w:eastAsia="pl-PL"/>
          <w14:ligatures w14:val="none"/>
        </w:rPr>
        <w:t xml:space="preserve"> </w:t>
      </w:r>
      <w:r w:rsidR="00BA77BD">
        <w:rPr>
          <w:rFonts w:ascii="Arial" w:eastAsia="Times New Roman" w:hAnsi="Arial" w:cs="Arial"/>
          <w:kern w:val="0"/>
          <w:sz w:val="24"/>
          <w:szCs w:val="24"/>
          <w:lang w:eastAsia="pl-PL"/>
          <w14:ligatures w14:val="none"/>
        </w:rPr>
        <w:t xml:space="preserve">ustawy </w:t>
      </w:r>
      <w:r w:rsidRPr="00466E8C">
        <w:rPr>
          <w:rFonts w:ascii="Arial" w:eastAsia="Times New Roman" w:hAnsi="Arial" w:cs="Arial"/>
          <w:kern w:val="0"/>
          <w:sz w:val="24"/>
          <w:szCs w:val="24"/>
          <w:lang w:eastAsia="pl-PL"/>
          <w14:ligatures w14:val="none"/>
        </w:rPr>
        <w:t>z dnia 5 czerwca 1998 r. o samorządzie województwa (Dz.U.</w:t>
      </w:r>
      <w:r>
        <w:rPr>
          <w:rFonts w:ascii="Arial" w:eastAsia="Times New Roman" w:hAnsi="Arial" w:cs="Arial"/>
          <w:kern w:val="0"/>
          <w:sz w:val="24"/>
          <w:szCs w:val="24"/>
          <w:lang w:eastAsia="pl-PL"/>
          <w14:ligatures w14:val="none"/>
        </w:rPr>
        <w:t xml:space="preserve"> z </w:t>
      </w:r>
      <w:r w:rsidRPr="00466E8C">
        <w:rPr>
          <w:rFonts w:ascii="Arial" w:eastAsia="Times New Roman" w:hAnsi="Arial" w:cs="Arial"/>
          <w:kern w:val="0"/>
          <w:sz w:val="24"/>
          <w:szCs w:val="24"/>
          <w:lang w:eastAsia="pl-PL"/>
          <w14:ligatures w14:val="none"/>
        </w:rPr>
        <w:t>2022</w:t>
      </w:r>
      <w:r>
        <w:rPr>
          <w:rFonts w:ascii="Arial" w:eastAsia="Times New Roman" w:hAnsi="Arial" w:cs="Arial"/>
          <w:kern w:val="0"/>
          <w:sz w:val="24"/>
          <w:szCs w:val="24"/>
          <w:lang w:eastAsia="pl-PL"/>
          <w14:ligatures w14:val="none"/>
        </w:rPr>
        <w:t xml:space="preserve"> r., poz. </w:t>
      </w:r>
      <w:r w:rsidRPr="00466E8C">
        <w:rPr>
          <w:rFonts w:ascii="Arial" w:eastAsia="Times New Roman" w:hAnsi="Arial" w:cs="Arial"/>
          <w:kern w:val="0"/>
          <w:sz w:val="24"/>
          <w:szCs w:val="24"/>
          <w:lang w:eastAsia="pl-PL"/>
          <w14:ligatures w14:val="none"/>
        </w:rPr>
        <w:t>2094 z późn. zm.) oraz § </w:t>
      </w:r>
      <w:r w:rsidR="004F3EF3">
        <w:rPr>
          <w:rFonts w:ascii="Arial" w:eastAsia="Times New Roman" w:hAnsi="Arial" w:cs="Arial"/>
          <w:kern w:val="0"/>
          <w:sz w:val="24"/>
          <w:szCs w:val="24"/>
          <w:lang w:eastAsia="pl-PL"/>
          <w14:ligatures w14:val="none"/>
        </w:rPr>
        <w:t>19</w:t>
      </w:r>
      <w:r w:rsidRPr="00466E8C">
        <w:rPr>
          <w:rFonts w:ascii="Arial" w:eastAsia="Times New Roman" w:hAnsi="Arial" w:cs="Arial"/>
          <w:kern w:val="0"/>
          <w:sz w:val="24"/>
          <w:szCs w:val="24"/>
          <w:lang w:eastAsia="pl-PL"/>
          <w14:ligatures w14:val="none"/>
        </w:rPr>
        <w:t xml:space="preserve"> ust. </w:t>
      </w:r>
      <w:r w:rsidR="004F3EF3">
        <w:rPr>
          <w:rFonts w:ascii="Arial" w:eastAsia="Times New Roman" w:hAnsi="Arial" w:cs="Arial"/>
          <w:kern w:val="0"/>
          <w:sz w:val="24"/>
          <w:szCs w:val="24"/>
          <w:lang w:eastAsia="pl-PL"/>
          <w14:ligatures w14:val="none"/>
        </w:rPr>
        <w:t>2</w:t>
      </w:r>
      <w:r w:rsidRPr="00466E8C">
        <w:rPr>
          <w:rFonts w:ascii="Arial" w:eastAsia="Times New Roman" w:hAnsi="Arial" w:cs="Arial"/>
          <w:kern w:val="0"/>
          <w:sz w:val="24"/>
          <w:szCs w:val="24"/>
          <w:lang w:eastAsia="pl-PL"/>
          <w14:ligatures w14:val="none"/>
        </w:rPr>
        <w:t xml:space="preserve"> </w:t>
      </w:r>
      <w:r w:rsidR="004F3EF3">
        <w:rPr>
          <w:rFonts w:ascii="Arial" w:eastAsia="Times New Roman" w:hAnsi="Arial" w:cs="Arial"/>
          <w:kern w:val="0"/>
          <w:sz w:val="24"/>
          <w:szCs w:val="24"/>
          <w:lang w:eastAsia="pl-PL"/>
          <w14:ligatures w14:val="none"/>
        </w:rPr>
        <w:t xml:space="preserve">Statutu Województwa Podkarpackiego stanowiącego załącznik do Uchwały Nr X/103/99 Sejmiku Województwa Podkarpackiego z dnia 29 września 1999 r. w sprawie uchwalenia Statutu Województwa Podkarpackiego (Dz. Urz. Woj. </w:t>
      </w:r>
      <w:proofErr w:type="spellStart"/>
      <w:r w:rsidR="004F3EF3">
        <w:rPr>
          <w:rFonts w:ascii="Arial" w:eastAsia="Times New Roman" w:hAnsi="Arial" w:cs="Arial"/>
          <w:kern w:val="0"/>
          <w:sz w:val="24"/>
          <w:szCs w:val="24"/>
          <w:lang w:eastAsia="pl-PL"/>
          <w14:ligatures w14:val="none"/>
        </w:rPr>
        <w:t>Podk</w:t>
      </w:r>
      <w:proofErr w:type="spellEnd"/>
      <w:r w:rsidR="004F3EF3">
        <w:rPr>
          <w:rFonts w:ascii="Arial" w:eastAsia="Times New Roman" w:hAnsi="Arial" w:cs="Arial"/>
          <w:kern w:val="0"/>
          <w:sz w:val="24"/>
          <w:szCs w:val="24"/>
          <w:lang w:eastAsia="pl-PL"/>
          <w14:ligatures w14:val="none"/>
        </w:rPr>
        <w:t xml:space="preserve">. z 1999 r. Nr 28, poz. 1247 z </w:t>
      </w:r>
      <w:proofErr w:type="spellStart"/>
      <w:r w:rsidR="004F3EF3">
        <w:rPr>
          <w:rFonts w:ascii="Arial" w:eastAsia="Times New Roman" w:hAnsi="Arial" w:cs="Arial"/>
          <w:kern w:val="0"/>
          <w:sz w:val="24"/>
          <w:szCs w:val="24"/>
          <w:lang w:eastAsia="pl-PL"/>
          <w14:ligatures w14:val="none"/>
        </w:rPr>
        <w:t>późn</w:t>
      </w:r>
      <w:proofErr w:type="spellEnd"/>
      <w:r w:rsidR="004F3EF3">
        <w:rPr>
          <w:rFonts w:ascii="Arial" w:eastAsia="Times New Roman" w:hAnsi="Arial" w:cs="Arial"/>
          <w:kern w:val="0"/>
          <w:sz w:val="24"/>
          <w:szCs w:val="24"/>
          <w:lang w:eastAsia="pl-PL"/>
          <w14:ligatures w14:val="none"/>
        </w:rPr>
        <w:t>. zm.)</w:t>
      </w:r>
    </w:p>
    <w:p w14:paraId="6722E068" w14:textId="77777777" w:rsidR="00466E8C" w:rsidRPr="00466E8C" w:rsidRDefault="00466E8C" w:rsidP="00466E8C">
      <w:pPr>
        <w:spacing w:after="0" w:line="288" w:lineRule="auto"/>
        <w:jc w:val="both"/>
        <w:rPr>
          <w:rFonts w:ascii="Arial" w:eastAsia="Times New Roman" w:hAnsi="Arial" w:cs="Arial"/>
          <w:color w:val="000000"/>
          <w:kern w:val="0"/>
          <w:lang w:eastAsia="pl-PL"/>
          <w14:ligatures w14:val="none"/>
        </w:rPr>
      </w:pPr>
    </w:p>
    <w:p w14:paraId="4007F66F" w14:textId="53A5ECA5" w:rsidR="00466E8C" w:rsidRPr="00466E8C" w:rsidRDefault="00466E8C" w:rsidP="00466E8C">
      <w:pPr>
        <w:spacing w:after="0" w:line="288" w:lineRule="auto"/>
        <w:jc w:val="center"/>
        <w:rPr>
          <w:rFonts w:ascii="Arial" w:eastAsia="Times New Roman" w:hAnsi="Arial" w:cs="Arial"/>
          <w:b/>
          <w:color w:val="000000"/>
          <w:kern w:val="0"/>
          <w:sz w:val="24"/>
          <w:szCs w:val="24"/>
          <w:lang w:eastAsia="pl-PL"/>
          <w14:ligatures w14:val="none"/>
        </w:rPr>
      </w:pPr>
      <w:r w:rsidRPr="00466E8C">
        <w:rPr>
          <w:rFonts w:ascii="Arial" w:eastAsia="Times New Roman" w:hAnsi="Arial" w:cs="Arial"/>
          <w:b/>
          <w:color w:val="000000"/>
          <w:kern w:val="0"/>
          <w:sz w:val="24"/>
          <w:szCs w:val="24"/>
          <w:lang w:eastAsia="pl-PL"/>
          <w14:ligatures w14:val="none"/>
        </w:rPr>
        <w:t xml:space="preserve">Sejmik Województwa Podkarpackiego </w:t>
      </w:r>
    </w:p>
    <w:p w14:paraId="0C85D572" w14:textId="77777777" w:rsidR="00466E8C" w:rsidRPr="00466E8C" w:rsidRDefault="00466E8C" w:rsidP="00466E8C">
      <w:pPr>
        <w:spacing w:after="0" w:line="288" w:lineRule="auto"/>
        <w:jc w:val="center"/>
        <w:rPr>
          <w:rFonts w:ascii="Arial" w:eastAsia="Times New Roman" w:hAnsi="Arial" w:cs="Arial"/>
          <w:color w:val="000000"/>
          <w:kern w:val="0"/>
          <w:sz w:val="24"/>
          <w:szCs w:val="24"/>
          <w:lang w:eastAsia="pl-PL"/>
          <w14:ligatures w14:val="none"/>
        </w:rPr>
      </w:pPr>
      <w:r w:rsidRPr="00466E8C">
        <w:rPr>
          <w:rFonts w:ascii="Arial" w:eastAsia="Times New Roman" w:hAnsi="Arial" w:cs="Arial"/>
          <w:b/>
          <w:color w:val="000000"/>
          <w:kern w:val="0"/>
          <w:sz w:val="24"/>
          <w:szCs w:val="24"/>
          <w:lang w:eastAsia="pl-PL"/>
          <w14:ligatures w14:val="none"/>
        </w:rPr>
        <w:t xml:space="preserve"> uchwala, co następuje:</w:t>
      </w:r>
    </w:p>
    <w:p w14:paraId="055A3715" w14:textId="77777777" w:rsidR="00466E8C" w:rsidRPr="00466E8C" w:rsidRDefault="00466E8C" w:rsidP="00466E8C">
      <w:pPr>
        <w:spacing w:after="0" w:line="288" w:lineRule="auto"/>
        <w:jc w:val="center"/>
        <w:rPr>
          <w:rFonts w:ascii="Arial" w:eastAsia="Times New Roman" w:hAnsi="Arial" w:cs="Arial"/>
          <w:color w:val="000000"/>
          <w:kern w:val="0"/>
          <w:szCs w:val="24"/>
          <w:lang w:eastAsia="pl-PL"/>
          <w14:ligatures w14:val="none"/>
        </w:rPr>
      </w:pPr>
    </w:p>
    <w:p w14:paraId="70FFCABC" w14:textId="0C820F8D" w:rsidR="00466E8C" w:rsidRDefault="00466E8C" w:rsidP="00466E8C">
      <w:pPr>
        <w:spacing w:after="0" w:line="288" w:lineRule="auto"/>
        <w:jc w:val="center"/>
        <w:rPr>
          <w:rFonts w:ascii="Arial" w:eastAsia="Times New Roman" w:hAnsi="Arial" w:cs="Arial"/>
          <w:bCs/>
          <w:color w:val="000000"/>
          <w:kern w:val="0"/>
          <w:szCs w:val="24"/>
          <w:lang w:eastAsia="pl-PL"/>
          <w14:ligatures w14:val="none"/>
        </w:rPr>
      </w:pPr>
      <w:r w:rsidRPr="00466E8C">
        <w:rPr>
          <w:rFonts w:ascii="Arial" w:eastAsia="Times New Roman" w:hAnsi="Arial" w:cs="Arial"/>
          <w:bCs/>
          <w:color w:val="000000"/>
          <w:kern w:val="0"/>
          <w:szCs w:val="24"/>
          <w:lang w:eastAsia="pl-PL"/>
          <w14:ligatures w14:val="none"/>
        </w:rPr>
        <w:t>§ 1</w:t>
      </w:r>
    </w:p>
    <w:p w14:paraId="749B38C9" w14:textId="77777777" w:rsidR="005E5B73" w:rsidRPr="00466E8C" w:rsidRDefault="005E5B73" w:rsidP="00466E8C">
      <w:pPr>
        <w:spacing w:after="0" w:line="288" w:lineRule="auto"/>
        <w:jc w:val="center"/>
        <w:rPr>
          <w:rFonts w:ascii="Arial" w:eastAsia="Times New Roman" w:hAnsi="Arial" w:cs="Arial"/>
          <w:bCs/>
          <w:color w:val="000000"/>
          <w:kern w:val="0"/>
          <w:szCs w:val="24"/>
          <w:lang w:eastAsia="pl-PL"/>
          <w14:ligatures w14:val="none"/>
        </w:rPr>
      </w:pPr>
    </w:p>
    <w:p w14:paraId="54E1BFA1" w14:textId="589702B8" w:rsidR="005E5B73" w:rsidRPr="005E5B73" w:rsidRDefault="004F3EF3" w:rsidP="005E5B73">
      <w:pPr>
        <w:spacing w:after="0" w:line="288" w:lineRule="auto"/>
        <w:jc w:val="both"/>
        <w:rPr>
          <w:rFonts w:ascii="Arial" w:eastAsia="Times New Roman" w:hAnsi="Arial" w:cs="Arial"/>
          <w:bCs/>
          <w:kern w:val="0"/>
          <w:sz w:val="24"/>
          <w:szCs w:val="24"/>
          <w:lang w:eastAsia="pl-PL"/>
          <w14:ligatures w14:val="none"/>
        </w:rPr>
      </w:pPr>
      <w:r>
        <w:rPr>
          <w:rFonts w:ascii="Arial" w:eastAsia="Times New Roman" w:hAnsi="Arial" w:cs="Arial"/>
          <w:kern w:val="0"/>
          <w:sz w:val="24"/>
          <w:szCs w:val="20"/>
          <w:lang w:eastAsia="pl-PL"/>
          <w14:ligatures w14:val="none"/>
        </w:rPr>
        <w:t xml:space="preserve">Przyjmuje się </w:t>
      </w:r>
      <w:r w:rsidR="005E5B73">
        <w:rPr>
          <w:rFonts w:ascii="Arial" w:eastAsia="Times New Roman" w:hAnsi="Arial" w:cs="Arial"/>
          <w:kern w:val="0"/>
          <w:sz w:val="24"/>
          <w:szCs w:val="20"/>
          <w:lang w:eastAsia="pl-PL"/>
          <w14:ligatures w14:val="none"/>
        </w:rPr>
        <w:t>S</w:t>
      </w:r>
      <w:r>
        <w:rPr>
          <w:rFonts w:ascii="Arial" w:eastAsia="Times New Roman" w:hAnsi="Arial" w:cs="Arial"/>
          <w:kern w:val="0"/>
          <w:sz w:val="24"/>
          <w:szCs w:val="20"/>
          <w:lang w:eastAsia="pl-PL"/>
          <w14:ligatures w14:val="none"/>
        </w:rPr>
        <w:t>tanowisko</w:t>
      </w:r>
      <w:r w:rsidR="005E5B73">
        <w:rPr>
          <w:rFonts w:ascii="Arial" w:eastAsia="Times New Roman" w:hAnsi="Arial" w:cs="Arial"/>
          <w:kern w:val="0"/>
          <w:sz w:val="24"/>
          <w:szCs w:val="20"/>
          <w:lang w:eastAsia="pl-PL"/>
          <w14:ligatures w14:val="none"/>
        </w:rPr>
        <w:t xml:space="preserve"> Sejmiku Województwa Podkarpackiego – apel</w:t>
      </w:r>
      <w:r w:rsidR="00B8328C">
        <w:rPr>
          <w:rFonts w:ascii="Arial" w:eastAsia="Times New Roman" w:hAnsi="Arial" w:cs="Arial"/>
          <w:kern w:val="0"/>
          <w:sz w:val="24"/>
          <w:szCs w:val="20"/>
          <w:lang w:eastAsia="pl-PL"/>
          <w14:ligatures w14:val="none"/>
        </w:rPr>
        <w:t>u</w:t>
      </w:r>
      <w:r w:rsidR="005E5B73">
        <w:rPr>
          <w:rFonts w:ascii="Arial" w:eastAsia="Times New Roman" w:hAnsi="Arial" w:cs="Arial"/>
          <w:kern w:val="0"/>
          <w:sz w:val="24"/>
          <w:szCs w:val="20"/>
          <w:lang w:eastAsia="pl-PL"/>
          <w14:ligatures w14:val="none"/>
        </w:rPr>
        <w:t xml:space="preserve"> do Prokuratury - </w:t>
      </w:r>
      <w:r w:rsidR="005E5B73" w:rsidRPr="005E5B73">
        <w:rPr>
          <w:rFonts w:ascii="Arial" w:eastAsia="Times New Roman" w:hAnsi="Arial" w:cs="Times New Roman"/>
          <w:bCs/>
          <w:kern w:val="0"/>
          <w:sz w:val="24"/>
          <w:szCs w:val="24"/>
          <w:lang w:eastAsia="pl-PL"/>
          <w14:ligatures w14:val="none"/>
        </w:rPr>
        <w:t>Prokuratora Generalnego Rzeczypospolitej Polskiej – o podjęcie pilnych działań w sprawach związanych z działalnością Sejmiku Województwa Podkarpackiego, których wyjaśnienie było blokowane w  czasach rządów PiS</w:t>
      </w:r>
      <w:r w:rsidR="005E5B73">
        <w:rPr>
          <w:rFonts w:ascii="Arial" w:eastAsia="Times New Roman" w:hAnsi="Arial" w:cs="Times New Roman"/>
          <w:bCs/>
          <w:kern w:val="0"/>
          <w:sz w:val="24"/>
          <w:szCs w:val="24"/>
          <w:lang w:eastAsia="pl-PL"/>
          <w14:ligatures w14:val="none"/>
        </w:rPr>
        <w:t xml:space="preserve"> – </w:t>
      </w:r>
      <w:r w:rsidR="006B369A">
        <w:rPr>
          <w:rFonts w:ascii="Arial" w:eastAsia="Times New Roman" w:hAnsi="Arial" w:cs="Times New Roman"/>
          <w:bCs/>
          <w:kern w:val="0"/>
          <w:sz w:val="24"/>
          <w:szCs w:val="24"/>
          <w:lang w:eastAsia="pl-PL"/>
          <w14:ligatures w14:val="none"/>
        </w:rPr>
        <w:t xml:space="preserve">                       </w:t>
      </w:r>
      <w:r w:rsidR="005E5B73">
        <w:rPr>
          <w:rFonts w:ascii="Arial" w:eastAsia="Times New Roman" w:hAnsi="Arial" w:cs="Times New Roman"/>
          <w:bCs/>
          <w:kern w:val="0"/>
          <w:sz w:val="24"/>
          <w:szCs w:val="24"/>
          <w:lang w:eastAsia="pl-PL"/>
          <w14:ligatures w14:val="none"/>
        </w:rPr>
        <w:t xml:space="preserve">w brzmieniu jak </w:t>
      </w:r>
      <w:r w:rsidR="006B369A">
        <w:rPr>
          <w:rFonts w:ascii="Arial" w:eastAsia="Times New Roman" w:hAnsi="Arial" w:cs="Times New Roman"/>
          <w:bCs/>
          <w:kern w:val="0"/>
          <w:sz w:val="24"/>
          <w:szCs w:val="24"/>
          <w:lang w:eastAsia="pl-PL"/>
          <w14:ligatures w14:val="none"/>
        </w:rPr>
        <w:t xml:space="preserve">w </w:t>
      </w:r>
      <w:r w:rsidR="005E5B73">
        <w:rPr>
          <w:rFonts w:ascii="Arial" w:eastAsia="Times New Roman" w:hAnsi="Arial" w:cs="Times New Roman"/>
          <w:bCs/>
          <w:kern w:val="0"/>
          <w:sz w:val="24"/>
          <w:szCs w:val="24"/>
          <w:lang w:eastAsia="pl-PL"/>
          <w14:ligatures w14:val="none"/>
        </w:rPr>
        <w:t>załącznik do niniejszej uchwały.</w:t>
      </w:r>
    </w:p>
    <w:p w14:paraId="5D0D50D0" w14:textId="77777777" w:rsidR="00466E8C" w:rsidRPr="00466E8C" w:rsidRDefault="00466E8C" w:rsidP="005E5B73">
      <w:pPr>
        <w:spacing w:after="0" w:line="288" w:lineRule="auto"/>
        <w:rPr>
          <w:rFonts w:ascii="Arial" w:eastAsia="Times New Roman" w:hAnsi="Arial" w:cs="Arial"/>
          <w:color w:val="000000"/>
          <w:kern w:val="0"/>
          <w:sz w:val="24"/>
          <w:szCs w:val="24"/>
          <w:lang w:eastAsia="pl-PL"/>
          <w14:ligatures w14:val="none"/>
        </w:rPr>
      </w:pPr>
    </w:p>
    <w:p w14:paraId="62E22EA7" w14:textId="77777777" w:rsidR="00466E8C" w:rsidRPr="00466E8C" w:rsidRDefault="00466E8C" w:rsidP="00466E8C">
      <w:pPr>
        <w:spacing w:after="0" w:line="288" w:lineRule="auto"/>
        <w:jc w:val="center"/>
        <w:rPr>
          <w:rFonts w:ascii="Arial" w:eastAsia="Times New Roman" w:hAnsi="Arial" w:cs="Arial"/>
          <w:color w:val="000000"/>
          <w:kern w:val="0"/>
          <w:sz w:val="24"/>
          <w:szCs w:val="24"/>
          <w:lang w:eastAsia="pl-PL"/>
          <w14:ligatures w14:val="none"/>
        </w:rPr>
      </w:pPr>
      <w:r w:rsidRPr="00466E8C">
        <w:rPr>
          <w:rFonts w:ascii="Arial" w:eastAsia="Times New Roman" w:hAnsi="Arial" w:cs="Arial"/>
          <w:color w:val="000000"/>
          <w:kern w:val="0"/>
          <w:sz w:val="24"/>
          <w:szCs w:val="24"/>
          <w:lang w:eastAsia="pl-PL"/>
          <w14:ligatures w14:val="none"/>
        </w:rPr>
        <w:t>§ 2</w:t>
      </w:r>
    </w:p>
    <w:p w14:paraId="1A249682" w14:textId="217602BC" w:rsidR="00466E8C" w:rsidRPr="00466E8C" w:rsidRDefault="00466E8C" w:rsidP="00466E8C">
      <w:pPr>
        <w:spacing w:after="0" w:line="288" w:lineRule="auto"/>
        <w:jc w:val="both"/>
        <w:rPr>
          <w:rFonts w:ascii="Arial" w:eastAsia="Times New Roman" w:hAnsi="Arial" w:cs="Arial"/>
          <w:kern w:val="0"/>
          <w:sz w:val="24"/>
          <w:szCs w:val="24"/>
          <w:lang w:eastAsia="pl-PL"/>
          <w14:ligatures w14:val="none"/>
        </w:rPr>
      </w:pPr>
      <w:r w:rsidRPr="00466E8C">
        <w:rPr>
          <w:rFonts w:ascii="Arial" w:eastAsia="Times New Roman" w:hAnsi="Arial" w:cs="Arial"/>
          <w:kern w:val="0"/>
          <w:sz w:val="24"/>
          <w:szCs w:val="24"/>
          <w:lang w:eastAsia="pl-PL"/>
          <w14:ligatures w14:val="none"/>
        </w:rPr>
        <w:t xml:space="preserve">Wykonanie uchwały powierza się </w:t>
      </w:r>
      <w:r w:rsidR="005E5B73">
        <w:rPr>
          <w:rFonts w:ascii="Arial" w:eastAsia="Times New Roman" w:hAnsi="Arial" w:cs="Arial"/>
          <w:kern w:val="0"/>
          <w:sz w:val="24"/>
          <w:szCs w:val="24"/>
          <w:lang w:eastAsia="pl-PL"/>
          <w14:ligatures w14:val="none"/>
        </w:rPr>
        <w:t>Przewodniczącemu</w:t>
      </w:r>
      <w:r w:rsidRPr="00466E8C">
        <w:rPr>
          <w:rFonts w:ascii="Arial" w:eastAsia="Times New Roman" w:hAnsi="Arial" w:cs="Arial"/>
          <w:kern w:val="0"/>
          <w:sz w:val="24"/>
          <w:szCs w:val="24"/>
          <w:lang w:eastAsia="pl-PL"/>
          <w14:ligatures w14:val="none"/>
        </w:rPr>
        <w:t xml:space="preserve"> </w:t>
      </w:r>
      <w:r w:rsidR="00B8328C">
        <w:rPr>
          <w:rFonts w:ascii="Arial" w:eastAsia="Times New Roman" w:hAnsi="Arial" w:cs="Arial"/>
          <w:kern w:val="0"/>
          <w:sz w:val="24"/>
          <w:szCs w:val="24"/>
          <w:lang w:eastAsia="pl-PL"/>
          <w14:ligatures w14:val="none"/>
        </w:rPr>
        <w:t xml:space="preserve">Sejmiku </w:t>
      </w:r>
      <w:r w:rsidRPr="00466E8C">
        <w:rPr>
          <w:rFonts w:ascii="Arial" w:eastAsia="Times New Roman" w:hAnsi="Arial" w:cs="Arial"/>
          <w:kern w:val="0"/>
          <w:sz w:val="24"/>
          <w:szCs w:val="24"/>
          <w:lang w:eastAsia="pl-PL"/>
          <w14:ligatures w14:val="none"/>
        </w:rPr>
        <w:t>Województwa Podkarpackiego</w:t>
      </w:r>
      <w:r w:rsidR="00B8328C">
        <w:rPr>
          <w:rFonts w:ascii="Arial" w:eastAsia="Times New Roman" w:hAnsi="Arial" w:cs="Arial"/>
          <w:kern w:val="0"/>
          <w:sz w:val="24"/>
          <w:szCs w:val="24"/>
          <w:lang w:eastAsia="pl-PL"/>
          <w14:ligatures w14:val="none"/>
        </w:rPr>
        <w:t>.</w:t>
      </w:r>
    </w:p>
    <w:p w14:paraId="34AAB2F2" w14:textId="77777777" w:rsidR="00466E8C" w:rsidRPr="00466E8C" w:rsidRDefault="00466E8C" w:rsidP="00466E8C">
      <w:pPr>
        <w:spacing w:after="0" w:line="288" w:lineRule="auto"/>
        <w:jc w:val="center"/>
        <w:rPr>
          <w:rFonts w:ascii="Arial" w:eastAsia="Times New Roman" w:hAnsi="Arial" w:cs="Arial"/>
          <w:bCs/>
          <w:color w:val="000000"/>
          <w:kern w:val="0"/>
          <w:sz w:val="24"/>
          <w:szCs w:val="24"/>
          <w:lang w:eastAsia="pl-PL"/>
          <w14:ligatures w14:val="none"/>
        </w:rPr>
      </w:pPr>
    </w:p>
    <w:p w14:paraId="139FBC24" w14:textId="77777777" w:rsidR="00466E8C" w:rsidRPr="00466E8C" w:rsidRDefault="00466E8C" w:rsidP="00466E8C">
      <w:pPr>
        <w:spacing w:after="0" w:line="288" w:lineRule="auto"/>
        <w:jc w:val="center"/>
        <w:rPr>
          <w:rFonts w:ascii="Arial" w:eastAsia="Times New Roman" w:hAnsi="Arial" w:cs="Arial"/>
          <w:bCs/>
          <w:color w:val="000000"/>
          <w:kern w:val="0"/>
          <w:sz w:val="24"/>
          <w:szCs w:val="24"/>
          <w:lang w:eastAsia="pl-PL"/>
          <w14:ligatures w14:val="none"/>
        </w:rPr>
      </w:pPr>
      <w:r w:rsidRPr="00466E8C">
        <w:rPr>
          <w:rFonts w:ascii="Arial" w:eastAsia="Times New Roman" w:hAnsi="Arial" w:cs="Arial"/>
          <w:bCs/>
          <w:color w:val="000000"/>
          <w:kern w:val="0"/>
          <w:sz w:val="24"/>
          <w:szCs w:val="24"/>
          <w:lang w:eastAsia="pl-PL"/>
          <w14:ligatures w14:val="none"/>
        </w:rPr>
        <w:t>§ 3</w:t>
      </w:r>
    </w:p>
    <w:p w14:paraId="72017CD4" w14:textId="77777777" w:rsidR="00466E8C" w:rsidRPr="00466E8C" w:rsidRDefault="00466E8C" w:rsidP="00466E8C">
      <w:pPr>
        <w:spacing w:after="0" w:line="288" w:lineRule="auto"/>
        <w:rPr>
          <w:rFonts w:ascii="Arial" w:eastAsia="Times New Roman" w:hAnsi="Arial" w:cs="Arial"/>
          <w:bCs/>
          <w:color w:val="000000"/>
          <w:kern w:val="0"/>
          <w:sz w:val="24"/>
          <w:szCs w:val="24"/>
          <w:lang w:eastAsia="pl-PL"/>
          <w14:ligatures w14:val="none"/>
        </w:rPr>
      </w:pPr>
      <w:r w:rsidRPr="00466E8C">
        <w:rPr>
          <w:rFonts w:ascii="Arial" w:eastAsia="Times New Roman" w:hAnsi="Arial" w:cs="Arial"/>
          <w:bCs/>
          <w:color w:val="000000"/>
          <w:kern w:val="0"/>
          <w:sz w:val="24"/>
          <w:szCs w:val="24"/>
          <w:lang w:eastAsia="pl-PL"/>
          <w14:ligatures w14:val="none"/>
        </w:rPr>
        <w:t>Uchwała wchodzi w życie z dniem podjęcia.</w:t>
      </w:r>
    </w:p>
    <w:p w14:paraId="3E1EC35B" w14:textId="77777777" w:rsidR="00466E8C" w:rsidRPr="00466E8C" w:rsidRDefault="00466E8C" w:rsidP="00466E8C">
      <w:pPr>
        <w:spacing w:after="0" w:line="300" w:lineRule="auto"/>
        <w:rPr>
          <w:rFonts w:ascii="Arial" w:eastAsia="Times New Roman" w:hAnsi="Arial" w:cs="Arial"/>
          <w:bCs/>
          <w:color w:val="999999"/>
          <w:kern w:val="0"/>
          <w:szCs w:val="18"/>
          <w:lang w:eastAsia="pl-PL"/>
          <w14:ligatures w14:val="none"/>
        </w:rPr>
      </w:pPr>
    </w:p>
    <w:p w14:paraId="3D395B17" w14:textId="3DC60CC5" w:rsidR="00466E8C" w:rsidRPr="00466E8C" w:rsidRDefault="00466E8C" w:rsidP="00466E8C">
      <w:pPr>
        <w:spacing w:after="200" w:line="300" w:lineRule="auto"/>
        <w:jc w:val="center"/>
        <w:rPr>
          <w:rFonts w:ascii="Arial" w:eastAsia="Times New Roman" w:hAnsi="Arial" w:cs="Arial"/>
          <w:b/>
          <w:bCs/>
          <w:kern w:val="0"/>
          <w:sz w:val="24"/>
          <w:szCs w:val="24"/>
          <w:lang w:eastAsia="pl-PL"/>
          <w14:ligatures w14:val="none"/>
        </w:rPr>
      </w:pPr>
      <w:r w:rsidRPr="00466E8C">
        <w:rPr>
          <w:rFonts w:ascii="Arial" w:eastAsia="Times New Roman" w:hAnsi="Arial" w:cs="Arial"/>
          <w:bCs/>
          <w:color w:val="999999"/>
          <w:kern w:val="0"/>
          <w:sz w:val="18"/>
          <w:szCs w:val="18"/>
          <w:lang w:eastAsia="pl-PL"/>
          <w14:ligatures w14:val="none"/>
        </w:rPr>
        <w:br w:type="page"/>
      </w:r>
    </w:p>
    <w:p w14:paraId="1EC488AA" w14:textId="473BCFE0" w:rsidR="00466E8C" w:rsidRPr="00466E8C" w:rsidRDefault="00466E8C" w:rsidP="00466E8C">
      <w:pPr>
        <w:keepNext/>
        <w:spacing w:after="240" w:line="276" w:lineRule="auto"/>
        <w:ind w:right="-142"/>
        <w:jc w:val="center"/>
        <w:outlineLvl w:val="0"/>
        <w:rPr>
          <w:rFonts w:ascii="Arial" w:eastAsia="Times New Roman" w:hAnsi="Arial" w:cs="Arial"/>
          <w:b/>
          <w:kern w:val="0"/>
          <w:sz w:val="24"/>
          <w:szCs w:val="20"/>
          <w:lang w:eastAsia="pl-PL"/>
          <w14:ligatures w14:val="none"/>
        </w:rPr>
      </w:pPr>
      <w:r w:rsidRPr="00466E8C">
        <w:rPr>
          <w:rFonts w:ascii="Arial" w:eastAsia="Times New Roman" w:hAnsi="Arial" w:cs="Arial"/>
          <w:b/>
          <w:kern w:val="0"/>
          <w:sz w:val="24"/>
          <w:szCs w:val="20"/>
          <w:lang w:eastAsia="pl-PL"/>
          <w14:ligatures w14:val="none"/>
        </w:rPr>
        <w:lastRenderedPageBreak/>
        <w:t>UZASADNIENIE</w:t>
      </w:r>
    </w:p>
    <w:p w14:paraId="1047FC6B" w14:textId="592A954D" w:rsidR="00154613" w:rsidRDefault="005E5B73" w:rsidP="005C2FA4">
      <w:p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W kończącej się kadencji samorządu miało miejsce bardzo wiel</w:t>
      </w:r>
      <w:r w:rsidR="006904AA">
        <w:rPr>
          <w:rFonts w:ascii="Arial" w:eastAsia="Times New Roman" w:hAnsi="Arial" w:cs="Arial"/>
          <w:kern w:val="0"/>
          <w:sz w:val="24"/>
          <w:szCs w:val="24"/>
          <w:lang w:eastAsia="pl-PL"/>
          <w14:ligatures w14:val="none"/>
        </w:rPr>
        <w:t>u</w:t>
      </w:r>
      <w:r>
        <w:rPr>
          <w:rFonts w:ascii="Arial" w:eastAsia="Times New Roman" w:hAnsi="Arial" w:cs="Arial"/>
          <w:kern w:val="0"/>
          <w:sz w:val="24"/>
          <w:szCs w:val="24"/>
          <w:lang w:eastAsia="pl-PL"/>
          <w14:ligatures w14:val="none"/>
        </w:rPr>
        <w:t xml:space="preserve"> przypadków, gdy zwłaszcza działania Zarządu Województwa, powinny zostać poddane badaniu Prokuratury. Obecnie ujawniane, publicznie wyświetlane są mechanizmy, które tworzono, by działalność polityków PiS nie była rozliczana przez Prokuraturę, również kontrolowan</w:t>
      </w:r>
      <w:r w:rsidR="006904AA">
        <w:rPr>
          <w:rFonts w:ascii="Arial" w:eastAsia="Times New Roman" w:hAnsi="Arial" w:cs="Arial"/>
          <w:kern w:val="0"/>
          <w:sz w:val="24"/>
          <w:szCs w:val="24"/>
          <w:lang w:eastAsia="pl-PL"/>
          <w14:ligatures w14:val="none"/>
        </w:rPr>
        <w:t>ą</w:t>
      </w:r>
      <w:r>
        <w:rPr>
          <w:rFonts w:ascii="Arial" w:eastAsia="Times New Roman" w:hAnsi="Arial" w:cs="Arial"/>
          <w:kern w:val="0"/>
          <w:sz w:val="24"/>
          <w:szCs w:val="24"/>
          <w:lang w:eastAsia="pl-PL"/>
          <w14:ligatures w14:val="none"/>
        </w:rPr>
        <w:t xml:space="preserve"> przez polityków tego obozu. Miar</w:t>
      </w:r>
      <w:r w:rsidR="006904AA">
        <w:rPr>
          <w:rFonts w:ascii="Arial" w:eastAsia="Times New Roman" w:hAnsi="Arial" w:cs="Arial"/>
          <w:kern w:val="0"/>
          <w:sz w:val="24"/>
          <w:szCs w:val="24"/>
          <w:lang w:eastAsia="pl-PL"/>
          <w14:ligatures w14:val="none"/>
        </w:rPr>
        <w:t>ą</w:t>
      </w:r>
      <w:r>
        <w:rPr>
          <w:rFonts w:ascii="Arial" w:eastAsia="Times New Roman" w:hAnsi="Arial" w:cs="Arial"/>
          <w:kern w:val="0"/>
          <w:sz w:val="24"/>
          <w:szCs w:val="24"/>
          <w:lang w:eastAsia="pl-PL"/>
          <w14:ligatures w14:val="none"/>
        </w:rPr>
        <w:t xml:space="preserve"> bezprawia, które czyniono, metod, do jakich się uciekano, jest ujawnienie w ostatnich dniach, iż akta spraw, które z powodów partyjnych i politycznych miały nie być prowadzone lub prowadzone w specjalny sposób, były gromadzone w garażu Prokuratury Regionalnej w Lublinie. Bardzo możliwe, iż pośród tych akt znajdują się również dotyczące Podkarpacia, gdyż prokuratury z właściwości Prokuratury Regionalnej w Lublinie, prowadziły również takie sprawy.</w:t>
      </w:r>
    </w:p>
    <w:p w14:paraId="27BEEF6C" w14:textId="51AE8FD3" w:rsidR="005E5B73" w:rsidRDefault="005E5B73" w:rsidP="005C2FA4">
      <w:p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ab/>
      </w:r>
      <w:r w:rsidR="002A2459">
        <w:rPr>
          <w:rFonts w:ascii="Arial" w:eastAsia="Times New Roman" w:hAnsi="Arial" w:cs="Arial"/>
          <w:kern w:val="0"/>
          <w:sz w:val="24"/>
          <w:szCs w:val="24"/>
          <w:lang w:eastAsia="pl-PL"/>
          <w14:ligatures w14:val="none"/>
        </w:rPr>
        <w:t>Istnieje pilna potrzeba powrotu do spraw, które zostały umorzone, bądź wciąż gdzieś zalegają, nie prowadzone. Mieszkańcy, wyborcy</w:t>
      </w:r>
      <w:r w:rsidR="00DB2ED6">
        <w:rPr>
          <w:rFonts w:ascii="Arial" w:eastAsia="Times New Roman" w:hAnsi="Arial" w:cs="Arial"/>
          <w:kern w:val="0"/>
          <w:sz w:val="24"/>
          <w:szCs w:val="24"/>
          <w:lang w:eastAsia="pl-PL"/>
          <w14:ligatures w14:val="none"/>
        </w:rPr>
        <w:t xml:space="preserve"> Podkarpacia mają prawo uzyskać dostęp do informacji na temat działania obecnych władz województwa, które dotychczas były ukrywane, bądź przeinaczane. Jest to szczególnie ważne ze względu na zbliżające się wybory. Jeśli mieszkańcy Podkarpacia maj</w:t>
      </w:r>
      <w:r w:rsidR="006B369A">
        <w:rPr>
          <w:rFonts w:ascii="Arial" w:eastAsia="Times New Roman" w:hAnsi="Arial" w:cs="Arial"/>
          <w:kern w:val="0"/>
          <w:sz w:val="24"/>
          <w:szCs w:val="24"/>
          <w:lang w:eastAsia="pl-PL"/>
          <w14:ligatures w14:val="none"/>
        </w:rPr>
        <w:t>ą</w:t>
      </w:r>
      <w:r w:rsidR="00DB2ED6">
        <w:rPr>
          <w:rFonts w:ascii="Arial" w:eastAsia="Times New Roman" w:hAnsi="Arial" w:cs="Arial"/>
          <w:kern w:val="0"/>
          <w:sz w:val="24"/>
          <w:szCs w:val="24"/>
          <w:lang w:eastAsia="pl-PL"/>
          <w14:ligatures w14:val="none"/>
        </w:rPr>
        <w:t xml:space="preserve"> dokonać świadomego wyboru, rozliczenia dotychczas rządzących, m</w:t>
      </w:r>
      <w:r w:rsidR="006904AA">
        <w:rPr>
          <w:rFonts w:ascii="Arial" w:eastAsia="Times New Roman" w:hAnsi="Arial" w:cs="Arial"/>
          <w:kern w:val="0"/>
          <w:sz w:val="24"/>
          <w:szCs w:val="24"/>
          <w:lang w:eastAsia="pl-PL"/>
          <w14:ligatures w14:val="none"/>
        </w:rPr>
        <w:t>u</w:t>
      </w:r>
      <w:r w:rsidR="00DB2ED6">
        <w:rPr>
          <w:rFonts w:ascii="Arial" w:eastAsia="Times New Roman" w:hAnsi="Arial" w:cs="Arial"/>
          <w:kern w:val="0"/>
          <w:sz w:val="24"/>
          <w:szCs w:val="24"/>
          <w:lang w:eastAsia="pl-PL"/>
          <w14:ligatures w14:val="none"/>
        </w:rPr>
        <w:t>szą uzyskać dostęp do prawdziwej wiedzy na temat tego, w jaki sposób obecnie rządzący poczynali sobie na Podkarpaciu.</w:t>
      </w:r>
    </w:p>
    <w:p w14:paraId="77106EE7" w14:textId="4C7B85E2" w:rsidR="00DB2ED6" w:rsidRDefault="00DB2ED6" w:rsidP="005C2FA4">
      <w:pPr>
        <w:spacing w:after="0"/>
        <w:jc w:val="both"/>
        <w:rPr>
          <w:rFonts w:ascii="Arial" w:eastAsia="Times New Roman" w:hAnsi="Arial" w:cs="Arial"/>
          <w:kern w:val="0"/>
          <w:sz w:val="24"/>
          <w:szCs w:val="24"/>
          <w:lang w:eastAsia="pl-PL"/>
          <w14:ligatures w14:val="none"/>
        </w:rPr>
      </w:pPr>
    </w:p>
    <w:p w14:paraId="39CC1395" w14:textId="7D2D9C33" w:rsidR="00DB2ED6" w:rsidRDefault="00DB2ED6" w:rsidP="005C2FA4">
      <w:p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ab/>
        <w:t>Dotyczy to w szczególności następujących spraw i postepowań:</w:t>
      </w:r>
    </w:p>
    <w:p w14:paraId="59CE4989" w14:textId="77777777" w:rsidR="00DB2ED6" w:rsidRDefault="00DB2ED6" w:rsidP="005C2FA4">
      <w:pPr>
        <w:spacing w:after="0"/>
        <w:jc w:val="both"/>
        <w:rPr>
          <w:rFonts w:ascii="Arial" w:eastAsia="Times New Roman" w:hAnsi="Arial" w:cs="Arial"/>
          <w:kern w:val="0"/>
          <w:sz w:val="24"/>
          <w:szCs w:val="24"/>
          <w:lang w:eastAsia="pl-PL"/>
          <w14:ligatures w14:val="none"/>
        </w:rPr>
      </w:pPr>
    </w:p>
    <w:p w14:paraId="5B967F5A" w14:textId="428F599F" w:rsidR="00DB2ED6" w:rsidRDefault="00DB2ED6" w:rsidP="00DB2ED6">
      <w:pPr>
        <w:pStyle w:val="Akapitzlist"/>
        <w:numPr>
          <w:ilvl w:val="0"/>
          <w:numId w:val="4"/>
        </w:num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 xml:space="preserve">Tzw. raportu Szlęzaka, opisującego nieprawidłowości w szpitalu przy </w:t>
      </w:r>
      <w:r w:rsidR="006B369A">
        <w:rPr>
          <w:rFonts w:ascii="Arial" w:eastAsia="Times New Roman" w:hAnsi="Arial" w:cs="Arial"/>
          <w:kern w:val="0"/>
          <w:sz w:val="24"/>
          <w:szCs w:val="24"/>
          <w:lang w:eastAsia="pl-PL"/>
          <w14:ligatures w14:val="none"/>
        </w:rPr>
        <w:t xml:space="preserve">                         </w:t>
      </w:r>
      <w:r>
        <w:rPr>
          <w:rFonts w:ascii="Arial" w:eastAsia="Times New Roman" w:hAnsi="Arial" w:cs="Arial"/>
          <w:kern w:val="0"/>
          <w:sz w:val="24"/>
          <w:szCs w:val="24"/>
          <w:lang w:eastAsia="pl-PL"/>
          <w14:ligatures w14:val="none"/>
        </w:rPr>
        <w:t>ul. Chopina w Rzeszowie – post</w:t>
      </w:r>
      <w:r w:rsidR="006904AA">
        <w:rPr>
          <w:rFonts w:ascii="Arial" w:eastAsia="Times New Roman" w:hAnsi="Arial" w:cs="Arial"/>
          <w:kern w:val="0"/>
          <w:sz w:val="24"/>
          <w:szCs w:val="24"/>
          <w:lang w:eastAsia="pl-PL"/>
          <w14:ligatures w14:val="none"/>
        </w:rPr>
        <w:t>ę</w:t>
      </w:r>
      <w:r>
        <w:rPr>
          <w:rFonts w:ascii="Arial" w:eastAsia="Times New Roman" w:hAnsi="Arial" w:cs="Arial"/>
          <w:kern w:val="0"/>
          <w:sz w:val="24"/>
          <w:szCs w:val="24"/>
          <w:lang w:eastAsia="pl-PL"/>
          <w14:ligatures w14:val="none"/>
        </w:rPr>
        <w:t>powanie to było prowadzone przez Prokuraturę Rejonow</w:t>
      </w:r>
      <w:r w:rsidR="006904AA">
        <w:rPr>
          <w:rFonts w:ascii="Arial" w:eastAsia="Times New Roman" w:hAnsi="Arial" w:cs="Arial"/>
          <w:kern w:val="0"/>
          <w:sz w:val="24"/>
          <w:szCs w:val="24"/>
          <w:lang w:eastAsia="pl-PL"/>
          <w14:ligatures w14:val="none"/>
        </w:rPr>
        <w:t>a</w:t>
      </w:r>
      <w:r>
        <w:rPr>
          <w:rFonts w:ascii="Arial" w:eastAsia="Times New Roman" w:hAnsi="Arial" w:cs="Arial"/>
          <w:kern w:val="0"/>
          <w:sz w:val="24"/>
          <w:szCs w:val="24"/>
          <w:lang w:eastAsia="pl-PL"/>
          <w14:ligatures w14:val="none"/>
        </w:rPr>
        <w:t xml:space="preserve"> dla Miasta Rzeszowa 1Ds 431/22</w:t>
      </w:r>
      <w:r w:rsidR="00F05028">
        <w:rPr>
          <w:rFonts w:ascii="Arial" w:eastAsia="Times New Roman" w:hAnsi="Arial" w:cs="Arial"/>
          <w:kern w:val="0"/>
          <w:sz w:val="24"/>
          <w:szCs w:val="24"/>
          <w:lang w:eastAsia="pl-PL"/>
          <w14:ligatures w14:val="none"/>
        </w:rPr>
        <w:t>,</w:t>
      </w:r>
    </w:p>
    <w:p w14:paraId="328C2911" w14:textId="00635027" w:rsidR="00DB2ED6" w:rsidRDefault="00DB2ED6" w:rsidP="00DB2ED6">
      <w:pPr>
        <w:pStyle w:val="Akapitzlist"/>
        <w:numPr>
          <w:ilvl w:val="0"/>
          <w:numId w:val="4"/>
        </w:num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Służących prześladowaniu prof. Krzysztofa Gutkowskiego, których prowadzenie zahamowało, gdy doprowadzono do ujawnienia, iż celem stawiania fałszywych oskarżeń posłużono się nawet kradzieżą tożsamości (Prokuratura Rejonowa w Rzeszowie 3Ds 135/21, potem 4275. 1Ds 152/22),</w:t>
      </w:r>
    </w:p>
    <w:p w14:paraId="7D06A1EF" w14:textId="06AAC18F" w:rsidR="00DB2ED6" w:rsidRDefault="00DB2ED6" w:rsidP="00DB2ED6">
      <w:pPr>
        <w:pStyle w:val="Akapitzlist"/>
        <w:numPr>
          <w:ilvl w:val="0"/>
          <w:numId w:val="4"/>
        </w:num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 xml:space="preserve">Dotyczących budowy parafialnych instalacji fotowoltaicznych, których prowadzenie zatrzymało się, gdy zaczęły ujawniać się okoliczności, iż to Zarząd Województwa </w:t>
      </w:r>
      <w:r w:rsidR="00641EFA">
        <w:rPr>
          <w:rFonts w:ascii="Arial" w:eastAsia="Times New Roman" w:hAnsi="Arial" w:cs="Arial"/>
          <w:kern w:val="0"/>
          <w:sz w:val="24"/>
          <w:szCs w:val="24"/>
          <w:lang w:eastAsia="pl-PL"/>
          <w14:ligatures w14:val="none"/>
        </w:rPr>
        <w:t>mógł celowo działać na rzecz uniemożliwienia wykonania tych inwestycji (sprawę prowadziła Prokuratura Okręgowa w Lublinie III Ds 36/21),</w:t>
      </w:r>
    </w:p>
    <w:p w14:paraId="5FD04FF5" w14:textId="2DED9311" w:rsidR="00641EFA" w:rsidRDefault="00641EFA" w:rsidP="00DB2ED6">
      <w:pPr>
        <w:pStyle w:val="Akapitzlist"/>
        <w:numPr>
          <w:ilvl w:val="0"/>
          <w:numId w:val="4"/>
        </w:num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Nieprawidłowości w Uzdrowisku Rymanów Zdrój, które nie doprowadziło do wyjaśnienia, czy Zarząd Województwa sprawował właściwy nadzór nad sytuacją w uzdrowisku, jak również nie wyjaśniono, do czego tam właściwie doszło w sytuacji prowadzenia interesów tej firmy przez partyjnych nominatów,</w:t>
      </w:r>
    </w:p>
    <w:p w14:paraId="0C1F7E04" w14:textId="0E4E3248" w:rsidR="00641EFA" w:rsidRDefault="00641EFA" w:rsidP="00DB2ED6">
      <w:pPr>
        <w:pStyle w:val="Akapitzlist"/>
        <w:numPr>
          <w:ilvl w:val="0"/>
          <w:numId w:val="4"/>
        </w:num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Sprawy głosowania nad uchwałą w sprawie wyjaśnienia prześladowań prof. Krzysztofa Gutkowskiego – Przewodniczący Sejmiku Jerzy Borcz przystąpił do głosowania, którego nie zakończył efektywnie i nigdy nie wyjaśniono, co właściwie wówczas się wydarzyło – post</w:t>
      </w:r>
      <w:r w:rsidR="005B7427">
        <w:rPr>
          <w:rFonts w:ascii="Arial" w:eastAsia="Times New Roman" w:hAnsi="Arial" w:cs="Arial"/>
          <w:kern w:val="0"/>
          <w:sz w:val="24"/>
          <w:szCs w:val="24"/>
          <w:lang w:eastAsia="pl-PL"/>
          <w14:ligatures w14:val="none"/>
        </w:rPr>
        <w:t>ę</w:t>
      </w:r>
      <w:bookmarkStart w:id="0" w:name="_GoBack"/>
      <w:bookmarkEnd w:id="0"/>
      <w:r>
        <w:rPr>
          <w:rFonts w:ascii="Arial" w:eastAsia="Times New Roman" w:hAnsi="Arial" w:cs="Arial"/>
          <w:kern w:val="0"/>
          <w:sz w:val="24"/>
          <w:szCs w:val="24"/>
          <w:lang w:eastAsia="pl-PL"/>
          <w14:ligatures w14:val="none"/>
        </w:rPr>
        <w:t>powanie w tej sprawie prowadziła Prokuratura,</w:t>
      </w:r>
    </w:p>
    <w:p w14:paraId="58323065" w14:textId="3081BB07" w:rsidR="00641EFA" w:rsidRPr="00DB2ED6" w:rsidRDefault="00641EFA" w:rsidP="00DB2ED6">
      <w:pPr>
        <w:pStyle w:val="Akapitzlist"/>
        <w:numPr>
          <w:ilvl w:val="0"/>
          <w:numId w:val="4"/>
        </w:num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Budowy Centrum Wystawienniczo – Kongresowego w Jasionce (obecna G2A) = Prokuratura Regionalna w Rzeszowie sygn.. RP I Ds. 27/2016.</w:t>
      </w:r>
    </w:p>
    <w:p w14:paraId="7A1FF8CB" w14:textId="34EA38DF" w:rsidR="00DB2ED6" w:rsidRDefault="00641EFA" w:rsidP="005C2FA4">
      <w:p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lastRenderedPageBreak/>
        <w:t>Zał. do uchwały</w:t>
      </w:r>
    </w:p>
    <w:p w14:paraId="18949B5B" w14:textId="1818AB75" w:rsidR="00641EFA" w:rsidRDefault="00641EFA" w:rsidP="005C2FA4">
      <w:pPr>
        <w:spacing w:after="0"/>
        <w:jc w:val="both"/>
        <w:rPr>
          <w:rFonts w:ascii="Arial" w:eastAsia="Times New Roman" w:hAnsi="Arial" w:cs="Arial"/>
          <w:kern w:val="0"/>
          <w:sz w:val="24"/>
          <w:szCs w:val="24"/>
          <w:lang w:eastAsia="pl-PL"/>
          <w14:ligatures w14:val="none"/>
        </w:rPr>
      </w:pPr>
    </w:p>
    <w:p w14:paraId="0576603B" w14:textId="295657CE" w:rsidR="00641EFA" w:rsidRDefault="00641EFA" w:rsidP="005C2FA4">
      <w:pPr>
        <w:spacing w:after="0"/>
        <w:jc w:val="both"/>
        <w:rPr>
          <w:rFonts w:ascii="Arial" w:eastAsia="Times New Roman" w:hAnsi="Arial" w:cs="Arial"/>
          <w:kern w:val="0"/>
          <w:sz w:val="24"/>
          <w:szCs w:val="24"/>
          <w:lang w:eastAsia="pl-PL"/>
          <w14:ligatures w14:val="none"/>
        </w:rPr>
      </w:pPr>
    </w:p>
    <w:p w14:paraId="70733F4B" w14:textId="1DB48B59" w:rsidR="00641EFA" w:rsidRDefault="00641EFA" w:rsidP="005C2FA4">
      <w:pPr>
        <w:spacing w:after="0"/>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ab/>
        <w:t>Sejmik Województwa Podkarpackiego apeluje do Prokuratury – Prokuratora Generalnego Rzeczypospolitej Polskiej – o podjęcie pilnych działań w spawach związanych z działalnością Sejmiku Województwa Podkarpackiego, których wyjaśnienie było blokowane w czasach rządów PiS. Apel kieruje się w szczególności do Prokuratury Regionalnej w Lublinie i Prokuratury Regionalnej w Rzeszowie.</w:t>
      </w:r>
    </w:p>
    <w:sectPr w:rsidR="00641EFA" w:rsidSect="005F6E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8A29" w14:textId="77777777" w:rsidR="004211DC" w:rsidRDefault="004211DC" w:rsidP="00DB2ED6">
      <w:pPr>
        <w:spacing w:after="0" w:line="240" w:lineRule="auto"/>
      </w:pPr>
      <w:r>
        <w:separator/>
      </w:r>
    </w:p>
  </w:endnote>
  <w:endnote w:type="continuationSeparator" w:id="0">
    <w:p w14:paraId="18829F02" w14:textId="77777777" w:rsidR="004211DC" w:rsidRDefault="004211DC" w:rsidP="00DB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5D27" w14:textId="77777777" w:rsidR="004211DC" w:rsidRDefault="004211DC" w:rsidP="00DB2ED6">
      <w:pPr>
        <w:spacing w:after="0" w:line="240" w:lineRule="auto"/>
      </w:pPr>
      <w:r>
        <w:separator/>
      </w:r>
    </w:p>
  </w:footnote>
  <w:footnote w:type="continuationSeparator" w:id="0">
    <w:p w14:paraId="40E63E66" w14:textId="77777777" w:rsidR="004211DC" w:rsidRDefault="004211DC" w:rsidP="00DB2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21FB"/>
    <w:multiLevelType w:val="hybridMultilevel"/>
    <w:tmpl w:val="A9BAD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441105"/>
    <w:multiLevelType w:val="hybridMultilevel"/>
    <w:tmpl w:val="51628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4E752E"/>
    <w:multiLevelType w:val="hybridMultilevel"/>
    <w:tmpl w:val="32881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EC80F63"/>
    <w:multiLevelType w:val="hybridMultilevel"/>
    <w:tmpl w:val="DDDE10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8C"/>
    <w:rsid w:val="000B0143"/>
    <w:rsid w:val="001502C4"/>
    <w:rsid w:val="00154613"/>
    <w:rsid w:val="001D1961"/>
    <w:rsid w:val="001E7CE7"/>
    <w:rsid w:val="002A2459"/>
    <w:rsid w:val="00324ED5"/>
    <w:rsid w:val="00330DAD"/>
    <w:rsid w:val="003D098B"/>
    <w:rsid w:val="003D4183"/>
    <w:rsid w:val="003E55A5"/>
    <w:rsid w:val="004211DC"/>
    <w:rsid w:val="00433636"/>
    <w:rsid w:val="00434E19"/>
    <w:rsid w:val="00466E8C"/>
    <w:rsid w:val="004D5A4E"/>
    <w:rsid w:val="004E566B"/>
    <w:rsid w:val="004E7FDC"/>
    <w:rsid w:val="004F3EF3"/>
    <w:rsid w:val="004F481D"/>
    <w:rsid w:val="004F5E28"/>
    <w:rsid w:val="005469E2"/>
    <w:rsid w:val="005B7427"/>
    <w:rsid w:val="005C2FA4"/>
    <w:rsid w:val="005E5B73"/>
    <w:rsid w:val="005F1FF8"/>
    <w:rsid w:val="005F4594"/>
    <w:rsid w:val="00641EFA"/>
    <w:rsid w:val="00665A94"/>
    <w:rsid w:val="0066678F"/>
    <w:rsid w:val="006904AA"/>
    <w:rsid w:val="006B369A"/>
    <w:rsid w:val="006C1596"/>
    <w:rsid w:val="007514B2"/>
    <w:rsid w:val="007C6008"/>
    <w:rsid w:val="00830A50"/>
    <w:rsid w:val="00844A2D"/>
    <w:rsid w:val="008625DB"/>
    <w:rsid w:val="00901BCE"/>
    <w:rsid w:val="009C5E42"/>
    <w:rsid w:val="009E6C44"/>
    <w:rsid w:val="00A05205"/>
    <w:rsid w:val="00A95B20"/>
    <w:rsid w:val="00A96C76"/>
    <w:rsid w:val="00A97F08"/>
    <w:rsid w:val="00AB620B"/>
    <w:rsid w:val="00AE5D40"/>
    <w:rsid w:val="00B8328C"/>
    <w:rsid w:val="00BA77BD"/>
    <w:rsid w:val="00C35BD7"/>
    <w:rsid w:val="00D16EC4"/>
    <w:rsid w:val="00D709FE"/>
    <w:rsid w:val="00DB2ED6"/>
    <w:rsid w:val="00DF7545"/>
    <w:rsid w:val="00E26FF6"/>
    <w:rsid w:val="00F05028"/>
    <w:rsid w:val="00F83E78"/>
    <w:rsid w:val="00F84197"/>
    <w:rsid w:val="00FB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58D2"/>
  <w15:chartTrackingRefBased/>
  <w15:docId w15:val="{98AE6DA2-AEC9-428A-9106-FE220D44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66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6E8C"/>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B0143"/>
    <w:pPr>
      <w:ind w:left="720"/>
      <w:contextualSpacing/>
    </w:pPr>
  </w:style>
  <w:style w:type="paragraph" w:styleId="Tekstprzypisukocowego">
    <w:name w:val="endnote text"/>
    <w:basedOn w:val="Normalny"/>
    <w:link w:val="TekstprzypisukocowegoZnak"/>
    <w:uiPriority w:val="99"/>
    <w:semiHidden/>
    <w:unhideWhenUsed/>
    <w:rsid w:val="00DB2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2ED6"/>
    <w:rPr>
      <w:sz w:val="20"/>
      <w:szCs w:val="20"/>
    </w:rPr>
  </w:style>
  <w:style w:type="character" w:styleId="Odwoanieprzypisukocowego">
    <w:name w:val="endnote reference"/>
    <w:basedOn w:val="Domylnaczcionkaakapitu"/>
    <w:uiPriority w:val="99"/>
    <w:semiHidden/>
    <w:unhideWhenUsed/>
    <w:rsid w:val="00DB2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Leszczak Ewelina</dc:creator>
  <cp:keywords/>
  <dc:description/>
  <cp:lastModifiedBy>Homa Monika</cp:lastModifiedBy>
  <cp:revision>4</cp:revision>
  <cp:lastPrinted>2024-02-07T12:15:00Z</cp:lastPrinted>
  <dcterms:created xsi:type="dcterms:W3CDTF">2024-02-21T12:14:00Z</dcterms:created>
  <dcterms:modified xsi:type="dcterms:W3CDTF">2024-02-21T12:22:00Z</dcterms:modified>
</cp:coreProperties>
</file>