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79D10" w14:textId="77777777" w:rsidR="00A36DA6" w:rsidRPr="00AD3F9F" w:rsidRDefault="00A36DA6" w:rsidP="00A36DA6">
      <w:pPr>
        <w:pStyle w:val="Tytu"/>
        <w:jc w:val="right"/>
      </w:pPr>
      <w:r w:rsidRPr="00AD3F9F">
        <w:t xml:space="preserve">projekt </w:t>
      </w:r>
    </w:p>
    <w:p w14:paraId="3C0164FA" w14:textId="77777777" w:rsidR="00A36DA6" w:rsidRPr="006C4792" w:rsidRDefault="00A36DA6" w:rsidP="00A36DA6">
      <w:pPr>
        <w:pStyle w:val="Tytu"/>
      </w:pPr>
    </w:p>
    <w:p w14:paraId="1C8B8F75" w14:textId="77777777" w:rsidR="00A36DA6" w:rsidRPr="006C4792" w:rsidRDefault="00A36DA6" w:rsidP="00A36DA6">
      <w:pPr>
        <w:pStyle w:val="Tytu"/>
      </w:pPr>
      <w:bookmarkStart w:id="0" w:name="_Hlk129855916"/>
      <w:r w:rsidRPr="006C4792">
        <w:t>UCHWAŁA NR</w:t>
      </w:r>
    </w:p>
    <w:p w14:paraId="310B3DAB" w14:textId="77777777" w:rsidR="00A36DA6" w:rsidRPr="006C4792" w:rsidRDefault="00A36DA6" w:rsidP="00A36DA6">
      <w:pPr>
        <w:jc w:val="center"/>
        <w:rPr>
          <w:b/>
          <w:bCs/>
        </w:rPr>
      </w:pPr>
      <w:r w:rsidRPr="006C4792">
        <w:rPr>
          <w:b/>
          <w:bCs/>
        </w:rPr>
        <w:t>SEJMIKU WOJEWÓDZTWA PODKARPACKIEGO</w:t>
      </w:r>
    </w:p>
    <w:p w14:paraId="17498B83" w14:textId="77777777" w:rsidR="00A36DA6" w:rsidRPr="006C4792" w:rsidRDefault="00A36DA6" w:rsidP="00A36DA6">
      <w:pPr>
        <w:jc w:val="center"/>
        <w:rPr>
          <w:b/>
          <w:bCs/>
        </w:rPr>
      </w:pPr>
    </w:p>
    <w:p w14:paraId="7B79D184" w14:textId="77777777" w:rsidR="00A36DA6" w:rsidRDefault="00A36DA6" w:rsidP="00A36DA6">
      <w:pPr>
        <w:jc w:val="center"/>
        <w:rPr>
          <w:bCs/>
        </w:rPr>
      </w:pPr>
      <w:r w:rsidRPr="006C4792">
        <w:rPr>
          <w:bCs/>
        </w:rPr>
        <w:t xml:space="preserve">z dnia  </w:t>
      </w:r>
    </w:p>
    <w:p w14:paraId="0B67A640" w14:textId="77777777" w:rsidR="00A36DA6" w:rsidRPr="006C4792" w:rsidRDefault="00A36DA6" w:rsidP="00A36DA6">
      <w:pPr>
        <w:jc w:val="center"/>
        <w:rPr>
          <w:bCs/>
        </w:rPr>
      </w:pPr>
      <w:r w:rsidRPr="006C4792">
        <w:rPr>
          <w:bCs/>
        </w:rPr>
        <w:t xml:space="preserve">                    </w:t>
      </w:r>
    </w:p>
    <w:p w14:paraId="22618AF1" w14:textId="7E606CBE" w:rsidR="00A36DA6" w:rsidRDefault="00A36DA6" w:rsidP="00A36DA6">
      <w:pPr>
        <w:jc w:val="both"/>
        <w:rPr>
          <w:b/>
          <w:bCs/>
          <w:szCs w:val="18"/>
        </w:rPr>
      </w:pPr>
      <w:r w:rsidRPr="006C4792">
        <w:rPr>
          <w:b/>
          <w:bCs/>
        </w:rPr>
        <w:t xml:space="preserve">zmieniająca uchwałę </w:t>
      </w:r>
      <w:r>
        <w:rPr>
          <w:b/>
          <w:bCs/>
        </w:rPr>
        <w:t>w sprawie przyjęcia</w:t>
      </w:r>
      <w:r>
        <w:rPr>
          <w:b/>
          <w:bCs/>
          <w:szCs w:val="18"/>
        </w:rPr>
        <w:t xml:space="preserve"> </w:t>
      </w:r>
      <w:bookmarkStart w:id="1" w:name="_Hlk129946696"/>
      <w:r>
        <w:rPr>
          <w:b/>
          <w:bCs/>
          <w:szCs w:val="18"/>
        </w:rPr>
        <w:t xml:space="preserve">Szczegółowych </w:t>
      </w:r>
      <w:bookmarkStart w:id="2" w:name="_Hlk127441691"/>
      <w:r>
        <w:rPr>
          <w:b/>
          <w:bCs/>
          <w:szCs w:val="18"/>
        </w:rPr>
        <w:t>zasad i trybu udzielania dotacji na prace związane z ochroną zabytków w ramach  Rządowego Programu Odbudowy Zabytków</w:t>
      </w:r>
      <w:bookmarkEnd w:id="2"/>
      <w:r w:rsidR="00D2073B">
        <w:rPr>
          <w:b/>
          <w:bCs/>
          <w:szCs w:val="18"/>
        </w:rPr>
        <w:t>.</w:t>
      </w:r>
      <w:bookmarkStart w:id="3" w:name="_GoBack"/>
      <w:bookmarkEnd w:id="3"/>
    </w:p>
    <w:bookmarkEnd w:id="0"/>
    <w:bookmarkEnd w:id="1"/>
    <w:p w14:paraId="131C010B" w14:textId="0236762E" w:rsidR="00A36DA6" w:rsidRDefault="00A36DA6" w:rsidP="00A36DA6">
      <w:pPr>
        <w:jc w:val="both"/>
        <w:rPr>
          <w:b/>
          <w:bCs/>
          <w:szCs w:val="18"/>
        </w:rPr>
      </w:pPr>
    </w:p>
    <w:p w14:paraId="3460AD08" w14:textId="77777777" w:rsidR="00A36DA6" w:rsidRDefault="00A36DA6" w:rsidP="00A36DA6">
      <w:pPr>
        <w:jc w:val="both"/>
        <w:rPr>
          <w:b/>
          <w:bCs/>
          <w:szCs w:val="18"/>
        </w:rPr>
      </w:pPr>
    </w:p>
    <w:p w14:paraId="7BDAE1EC" w14:textId="62781D6C" w:rsidR="00A36DA6" w:rsidRDefault="00A36DA6" w:rsidP="00A36DA6">
      <w:pPr>
        <w:suppressAutoHyphens/>
        <w:autoSpaceDN w:val="0"/>
        <w:jc w:val="both"/>
        <w:textAlignment w:val="baseline"/>
        <w:rPr>
          <w:lang w:eastAsia="en-US"/>
        </w:rPr>
      </w:pPr>
      <w:r w:rsidRPr="006C4792">
        <w:rPr>
          <w:lang w:eastAsia="en-US"/>
        </w:rPr>
        <w:t xml:space="preserve">Na podstawie art. 18 pkt. 20 ustawy </w:t>
      </w:r>
      <w:r w:rsidRPr="006C4792">
        <w:rPr>
          <w:rFonts w:eastAsia="Calibri"/>
          <w:lang w:eastAsia="en-US"/>
        </w:rPr>
        <w:t>z dnia 5 czerwca 1998 r. o samorządzie województwa (</w:t>
      </w:r>
      <w:proofErr w:type="spellStart"/>
      <w:r>
        <w:rPr>
          <w:rFonts w:eastAsia="Calibri"/>
          <w:lang w:eastAsia="en-US"/>
        </w:rPr>
        <w:t>t.j</w:t>
      </w:r>
      <w:proofErr w:type="spellEnd"/>
      <w:r>
        <w:rPr>
          <w:rFonts w:eastAsia="Calibri"/>
          <w:lang w:eastAsia="en-US"/>
        </w:rPr>
        <w:t xml:space="preserve"> </w:t>
      </w:r>
      <w:r w:rsidRPr="006C4792">
        <w:rPr>
          <w:rFonts w:eastAsia="Calibri"/>
          <w:lang w:eastAsia="en-US"/>
        </w:rPr>
        <w:t>Dz. U. z 2022 r.</w:t>
      </w:r>
      <w:r>
        <w:rPr>
          <w:rFonts w:eastAsia="Calibri"/>
          <w:lang w:eastAsia="en-US"/>
        </w:rPr>
        <w:t>,</w:t>
      </w:r>
      <w:r w:rsidRPr="006C4792">
        <w:rPr>
          <w:rFonts w:eastAsia="Calibri"/>
          <w:lang w:eastAsia="en-US"/>
        </w:rPr>
        <w:t xml:space="preserve"> poz. 2094 ), </w:t>
      </w:r>
      <w:r w:rsidRPr="006C4792">
        <w:rPr>
          <w:lang w:eastAsia="en-US"/>
        </w:rPr>
        <w:t xml:space="preserve">art. 65 ustawy z dnia 31 marca 2020 r. </w:t>
      </w:r>
      <w:r w:rsidRPr="006C4792">
        <w:rPr>
          <w:lang w:eastAsia="en-US"/>
        </w:rPr>
        <w:br/>
        <w:t>o zmianie ustawy o szczególnych rozwiązaniach związanych z zapobieganiem, przeciwdziałaniem i zwalczaniem COVID-19, innych chorób zakaźnych oraz wywołanych nimi sytuacji kryzysowych oraz niektórych innych ustaw (Dz. U. z 2020 r.</w:t>
      </w:r>
      <w:r>
        <w:rPr>
          <w:lang w:eastAsia="en-US"/>
        </w:rPr>
        <w:t>,</w:t>
      </w:r>
      <w:r w:rsidRPr="006C4792">
        <w:rPr>
          <w:lang w:eastAsia="en-US"/>
        </w:rPr>
        <w:t xml:space="preserve"> poz. 568 z </w:t>
      </w:r>
      <w:proofErr w:type="spellStart"/>
      <w:r w:rsidRPr="006C4792">
        <w:rPr>
          <w:lang w:eastAsia="en-US"/>
        </w:rPr>
        <w:t>późn</w:t>
      </w:r>
      <w:proofErr w:type="spellEnd"/>
      <w:r w:rsidRPr="006C4792">
        <w:rPr>
          <w:lang w:eastAsia="en-US"/>
        </w:rPr>
        <w:t>. zm.), art. 81 ust. 1 ustawy z dnia 23 lipca 2003 r. o ochronie zabytków i opiece nad zabytkami (Dz. U. z 2022 r.</w:t>
      </w:r>
      <w:r>
        <w:rPr>
          <w:lang w:eastAsia="en-US"/>
        </w:rPr>
        <w:t>,</w:t>
      </w:r>
      <w:r w:rsidRPr="006C4792">
        <w:rPr>
          <w:lang w:eastAsia="en-US"/>
        </w:rPr>
        <w:t xml:space="preserve"> poz. 840), art. 4 ust. </w:t>
      </w:r>
      <w:r>
        <w:rPr>
          <w:lang w:eastAsia="en-US"/>
        </w:rPr>
        <w:t>1</w:t>
      </w:r>
      <w:r w:rsidRPr="006C4792">
        <w:rPr>
          <w:lang w:eastAsia="en-US"/>
        </w:rPr>
        <w:t xml:space="preserve"> ustawy z dnia 20 lipca 20</w:t>
      </w:r>
      <w:r>
        <w:rPr>
          <w:lang w:eastAsia="en-US"/>
        </w:rPr>
        <w:t>0</w:t>
      </w:r>
      <w:r w:rsidRPr="006C4792">
        <w:rPr>
          <w:lang w:eastAsia="en-US"/>
        </w:rPr>
        <w:t xml:space="preserve">0 r. o ogłaszaniu aktów normatywnych i niektórych innych aktów prawnych </w:t>
      </w:r>
      <w:r w:rsidRPr="006C4792">
        <w:rPr>
          <w:lang w:eastAsia="en-US"/>
        </w:rPr>
        <w:br/>
        <w:t>(Dz. U. z 2019 r.</w:t>
      </w:r>
      <w:r>
        <w:rPr>
          <w:lang w:eastAsia="en-US"/>
        </w:rPr>
        <w:t>,</w:t>
      </w:r>
      <w:r w:rsidRPr="006C4792">
        <w:rPr>
          <w:lang w:eastAsia="en-US"/>
        </w:rPr>
        <w:t xml:space="preserve"> poz. 1461) oraz uchwały </w:t>
      </w:r>
      <w:r>
        <w:rPr>
          <w:lang w:eastAsia="en-US"/>
        </w:rPr>
        <w:t xml:space="preserve">Rady Ministrów </w:t>
      </w:r>
      <w:r w:rsidRPr="006C4792">
        <w:rPr>
          <w:lang w:eastAsia="en-US"/>
        </w:rPr>
        <w:t xml:space="preserve">nr 232/2022 z dnia </w:t>
      </w:r>
      <w:r w:rsidR="00260991">
        <w:rPr>
          <w:lang w:eastAsia="en-US"/>
        </w:rPr>
        <w:br/>
      </w:r>
      <w:r w:rsidRPr="006C4792">
        <w:rPr>
          <w:lang w:eastAsia="en-US"/>
        </w:rPr>
        <w:t>23 listopada 2022 r. w sprawie ustanowienia Rządowego Programu Odbudowy Zabytków</w:t>
      </w:r>
      <w:r w:rsidR="00260991">
        <w:rPr>
          <w:lang w:eastAsia="en-US"/>
        </w:rPr>
        <w:t>,</w:t>
      </w:r>
    </w:p>
    <w:p w14:paraId="171A08A8" w14:textId="3646F77B" w:rsidR="00A36DA6" w:rsidRPr="006C4792" w:rsidRDefault="00A36DA6" w:rsidP="00A36DA6">
      <w:pPr>
        <w:suppressAutoHyphens/>
        <w:autoSpaceDN w:val="0"/>
        <w:jc w:val="both"/>
        <w:textAlignment w:val="baseline"/>
        <w:rPr>
          <w:lang w:eastAsia="en-US"/>
        </w:rPr>
      </w:pPr>
    </w:p>
    <w:p w14:paraId="5CCADA7D" w14:textId="77777777" w:rsidR="00A36DA6" w:rsidRPr="006C4792" w:rsidRDefault="00A36DA6" w:rsidP="00A36DA6">
      <w:pPr>
        <w:suppressAutoHyphens/>
        <w:autoSpaceDN w:val="0"/>
        <w:jc w:val="center"/>
        <w:textAlignment w:val="baseline"/>
        <w:rPr>
          <w:b/>
          <w:szCs w:val="18"/>
        </w:rPr>
      </w:pPr>
      <w:r w:rsidRPr="006C4792">
        <w:rPr>
          <w:b/>
          <w:szCs w:val="18"/>
        </w:rPr>
        <w:t xml:space="preserve">Sejmik Województwa Podkarpackiego </w:t>
      </w:r>
    </w:p>
    <w:p w14:paraId="6D2CD5DC" w14:textId="77777777" w:rsidR="00A36DA6" w:rsidRPr="006C4792" w:rsidRDefault="00A36DA6" w:rsidP="00A36DA6">
      <w:pPr>
        <w:suppressAutoHyphens/>
        <w:autoSpaceDN w:val="0"/>
        <w:jc w:val="center"/>
        <w:textAlignment w:val="baseline"/>
        <w:rPr>
          <w:b/>
          <w:szCs w:val="18"/>
        </w:rPr>
      </w:pPr>
      <w:r w:rsidRPr="006C4792">
        <w:rPr>
          <w:b/>
          <w:szCs w:val="18"/>
        </w:rPr>
        <w:t>uchwala, co następuje:</w:t>
      </w:r>
    </w:p>
    <w:p w14:paraId="6C153AB3" w14:textId="77777777" w:rsidR="00A36DA6" w:rsidRPr="006C4792" w:rsidRDefault="00A36DA6" w:rsidP="00A36DA6">
      <w:pPr>
        <w:suppressAutoHyphens/>
        <w:autoSpaceDN w:val="0"/>
        <w:jc w:val="center"/>
        <w:textAlignment w:val="baseline"/>
        <w:rPr>
          <w:szCs w:val="18"/>
        </w:rPr>
      </w:pPr>
    </w:p>
    <w:p w14:paraId="0579E6E2" w14:textId="77777777" w:rsidR="00A36DA6" w:rsidRDefault="00A36DA6" w:rsidP="00A36DA6">
      <w:pPr>
        <w:spacing w:line="276" w:lineRule="auto"/>
        <w:jc w:val="center"/>
      </w:pPr>
      <w:bookmarkStart w:id="4" w:name="_Hlk129860243"/>
      <w:r w:rsidRPr="00AD3F9F">
        <w:t xml:space="preserve">§ </w:t>
      </w:r>
      <w:r>
        <w:t>1</w:t>
      </w:r>
    </w:p>
    <w:bookmarkEnd w:id="4"/>
    <w:p w14:paraId="309B1756" w14:textId="77777777" w:rsidR="00A36DA6" w:rsidRDefault="00A36DA6" w:rsidP="00A36DA6">
      <w:pPr>
        <w:jc w:val="center"/>
      </w:pPr>
    </w:p>
    <w:p w14:paraId="48DB10AA" w14:textId="77777777" w:rsidR="00A36DA6" w:rsidRDefault="00A36DA6" w:rsidP="00A36DA6">
      <w:pPr>
        <w:pStyle w:val="Tekstpodstawowy"/>
        <w:spacing w:after="0" w:line="276" w:lineRule="auto"/>
        <w:jc w:val="both"/>
      </w:pPr>
      <w:r w:rsidRPr="006C4792">
        <w:t>W załączniku do uchwały</w:t>
      </w:r>
      <w:r>
        <w:t xml:space="preserve"> nr</w:t>
      </w:r>
      <w:r w:rsidRPr="006C4792">
        <w:t xml:space="preserve"> LVIII/1015/23 Sejmiku Województwa Podkarpackiego </w:t>
      </w:r>
      <w:r>
        <w:br/>
      </w:r>
      <w:r w:rsidRPr="006C4792">
        <w:t>z dnia 27 lutego 2023 r.</w:t>
      </w:r>
      <w:r>
        <w:t xml:space="preserve"> w sprawie przyjęcia S</w:t>
      </w:r>
      <w:r w:rsidRPr="006C4792">
        <w:rPr>
          <w:bCs/>
          <w:szCs w:val="18"/>
        </w:rPr>
        <w:t>zczegółow</w:t>
      </w:r>
      <w:r>
        <w:rPr>
          <w:bCs/>
          <w:szCs w:val="18"/>
        </w:rPr>
        <w:t>ych</w:t>
      </w:r>
      <w:r w:rsidRPr="006C4792">
        <w:rPr>
          <w:bCs/>
          <w:szCs w:val="18"/>
        </w:rPr>
        <w:t xml:space="preserve"> zasad i tryb</w:t>
      </w:r>
      <w:r>
        <w:rPr>
          <w:bCs/>
          <w:szCs w:val="18"/>
        </w:rPr>
        <w:t>u</w:t>
      </w:r>
      <w:r w:rsidRPr="006C4792">
        <w:rPr>
          <w:bCs/>
          <w:szCs w:val="18"/>
        </w:rPr>
        <w:t xml:space="preserve"> udzielania dotacji na </w:t>
      </w:r>
      <w:r w:rsidRPr="006C4792">
        <w:rPr>
          <w:szCs w:val="18"/>
          <w:lang w:eastAsia="en-US"/>
        </w:rPr>
        <w:t>prace związane z ochroną zabytków</w:t>
      </w:r>
      <w:r w:rsidRPr="006C4792">
        <w:rPr>
          <w:szCs w:val="18"/>
        </w:rPr>
        <w:t xml:space="preserve"> </w:t>
      </w:r>
      <w:r>
        <w:rPr>
          <w:szCs w:val="18"/>
        </w:rPr>
        <w:t>w ramach</w:t>
      </w:r>
      <w:r w:rsidRPr="006C4792">
        <w:rPr>
          <w:szCs w:val="18"/>
        </w:rPr>
        <w:t xml:space="preserve"> </w:t>
      </w:r>
      <w:bookmarkStart w:id="5" w:name="_Hlk127174165"/>
      <w:r w:rsidRPr="006C4792">
        <w:rPr>
          <w:szCs w:val="18"/>
        </w:rPr>
        <w:t>Rządowego Programu Odbudowy Zabytków</w:t>
      </w:r>
      <w:r>
        <w:rPr>
          <w:szCs w:val="18"/>
        </w:rPr>
        <w:t xml:space="preserve"> </w:t>
      </w:r>
      <w:r w:rsidRPr="00030417">
        <w:t>wprowadza się następujące zmiany:</w:t>
      </w:r>
    </w:p>
    <w:p w14:paraId="171B1C1B" w14:textId="350DAA34" w:rsidR="00A36DA6" w:rsidRDefault="00A36DA6" w:rsidP="00A36DA6">
      <w:pPr>
        <w:pStyle w:val="Tekstpodstawowy"/>
        <w:numPr>
          <w:ilvl w:val="0"/>
          <w:numId w:val="9"/>
        </w:numPr>
        <w:spacing w:after="0" w:line="276" w:lineRule="auto"/>
        <w:ind w:left="851" w:hanging="426"/>
        <w:jc w:val="both"/>
      </w:pPr>
      <w:bookmarkStart w:id="6" w:name="_Hlk129934024"/>
      <w:r>
        <w:t>W §</w:t>
      </w:r>
      <w:bookmarkEnd w:id="6"/>
      <w:r>
        <w:t xml:space="preserve"> 8 ust.</w:t>
      </w:r>
      <w:r w:rsidR="00260991">
        <w:t xml:space="preserve"> </w:t>
      </w:r>
      <w:r>
        <w:t xml:space="preserve">1 otrzymuje brzmienie: </w:t>
      </w:r>
    </w:p>
    <w:p w14:paraId="06120331" w14:textId="77777777" w:rsidR="00A36DA6" w:rsidRDefault="00A36DA6" w:rsidP="00A36DA6">
      <w:pPr>
        <w:pStyle w:val="Tekstpodstawowy"/>
        <w:spacing w:after="0" w:line="276" w:lineRule="auto"/>
        <w:ind w:left="1134" w:hanging="425"/>
        <w:jc w:val="both"/>
      </w:pPr>
      <w:r>
        <w:t xml:space="preserve">„1. Dopuszcza się przyznanie dotacji na sfinansowanie </w:t>
      </w:r>
      <w:r w:rsidRPr="00AD3F9F">
        <w:t xml:space="preserve">prac </w:t>
      </w:r>
      <w:bookmarkStart w:id="7" w:name="_Hlk129855106"/>
      <w:r w:rsidRPr="00AD3F9F">
        <w:t>konserwatorski</w:t>
      </w:r>
      <w:r>
        <w:t>ch</w:t>
      </w:r>
      <w:r w:rsidRPr="00AD3F9F">
        <w:t>, restauratorski</w:t>
      </w:r>
      <w:r>
        <w:t>ch</w:t>
      </w:r>
      <w:r w:rsidRPr="00AD3F9F">
        <w:t xml:space="preserve"> lub rob</w:t>
      </w:r>
      <w:r>
        <w:t xml:space="preserve">ót </w:t>
      </w:r>
      <w:r w:rsidRPr="00AD3F9F">
        <w:t>budowlan</w:t>
      </w:r>
      <w:r>
        <w:t>ych</w:t>
      </w:r>
      <w:r w:rsidRPr="00AD3F9F">
        <w:t xml:space="preserve"> przy zabytk</w:t>
      </w:r>
      <w:r>
        <w:t>u</w:t>
      </w:r>
      <w:bookmarkEnd w:id="7"/>
      <w:r>
        <w:t>, które Beneficjent dotacji zamierza wykonać w okresie dłuższym niż rok budżetowy.”</w:t>
      </w:r>
    </w:p>
    <w:p w14:paraId="7C1117EF" w14:textId="77777777" w:rsidR="00A36DA6" w:rsidRDefault="00A36DA6" w:rsidP="00A36DA6">
      <w:pPr>
        <w:pStyle w:val="Tekstpodstawowy"/>
        <w:numPr>
          <w:ilvl w:val="0"/>
          <w:numId w:val="9"/>
        </w:numPr>
        <w:tabs>
          <w:tab w:val="left" w:pos="284"/>
        </w:tabs>
        <w:spacing w:after="0" w:line="276" w:lineRule="auto"/>
        <w:ind w:left="1134" w:hanging="720"/>
        <w:jc w:val="both"/>
      </w:pPr>
      <w:r>
        <w:t>§ 11 otrzymuje brzmienie:</w:t>
      </w:r>
    </w:p>
    <w:p w14:paraId="36D02150" w14:textId="6935CF43" w:rsidR="00A36DA6" w:rsidRDefault="00A36DA6" w:rsidP="00A36DA6">
      <w:pPr>
        <w:pStyle w:val="Akapitzlist"/>
        <w:spacing w:line="276" w:lineRule="auto"/>
        <w:ind w:left="1134" w:hanging="425"/>
        <w:jc w:val="both"/>
      </w:pPr>
      <w:r>
        <w:t xml:space="preserve">„1 Nierozpoczęcie przez Podmiot postępowania mającego na celu wyłonienie wykonawcy w terminie, o którym mowa w </w:t>
      </w:r>
      <w:r w:rsidRPr="00AD3F9F">
        <w:t xml:space="preserve">§ </w:t>
      </w:r>
      <w:r>
        <w:t>9 ust. 5 niniejszych Zasad</w:t>
      </w:r>
      <w:r w:rsidR="00260991">
        <w:t>,</w:t>
      </w:r>
      <w:r>
        <w:t xml:space="preserve"> jest równoznaczne z rezygnacją </w:t>
      </w:r>
      <w:r w:rsidR="00260991">
        <w:t xml:space="preserve">z </w:t>
      </w:r>
      <w:r>
        <w:t>ubiegania się o dotację z budżetu Województwa Podkarpackiego.</w:t>
      </w:r>
    </w:p>
    <w:p w14:paraId="699ACCB5" w14:textId="1EBC4C79" w:rsidR="00A36DA6" w:rsidRDefault="00A36DA6" w:rsidP="00A36DA6">
      <w:pPr>
        <w:pStyle w:val="Akapitzlist"/>
        <w:numPr>
          <w:ilvl w:val="0"/>
          <w:numId w:val="14"/>
        </w:numPr>
        <w:suppressAutoHyphens/>
        <w:autoSpaceDN w:val="0"/>
        <w:spacing w:line="276" w:lineRule="auto"/>
        <w:contextualSpacing w:val="0"/>
        <w:jc w:val="both"/>
        <w:textAlignment w:val="baseline"/>
      </w:pPr>
      <w:r>
        <w:rPr>
          <w:szCs w:val="18"/>
        </w:rPr>
        <w:t xml:space="preserve"> Po przeprowadzeniu procedur, o których mowa w § 8 do § 10 niniejszych Zasad i uzyskaniu przez Województwo Podkarpackie promesy na udzielenie dotacji z Banku Gospodarstwa Krajowego</w:t>
      </w:r>
      <w:r w:rsidR="00260991">
        <w:rPr>
          <w:szCs w:val="18"/>
        </w:rPr>
        <w:t>,</w:t>
      </w:r>
      <w:r>
        <w:rPr>
          <w:szCs w:val="18"/>
        </w:rPr>
        <w:t xml:space="preserve"> następuje podpisanie umowy o  przyznanie dotacji między Województwem Podkarpackim a Podmiotem </w:t>
      </w:r>
      <w:r>
        <w:rPr>
          <w:szCs w:val="18"/>
        </w:rPr>
        <w:lastRenderedPageBreak/>
        <w:t>w  terminie nie dłuższym niż 14 dni kalendarzowych od dnia uzyskania promesy.</w:t>
      </w:r>
    </w:p>
    <w:p w14:paraId="72AC2301" w14:textId="77777777" w:rsidR="00A36DA6" w:rsidRDefault="00A36DA6" w:rsidP="00A36DA6">
      <w:pPr>
        <w:pStyle w:val="Tekstpodstawowy"/>
        <w:numPr>
          <w:ilvl w:val="0"/>
          <w:numId w:val="14"/>
        </w:numPr>
        <w:tabs>
          <w:tab w:val="left" w:pos="916"/>
        </w:tabs>
        <w:spacing w:after="0" w:line="276" w:lineRule="auto"/>
        <w:jc w:val="both"/>
      </w:pPr>
      <w:r>
        <w:t>Przed podpisaniem umowy Podmiot przedkłada:</w:t>
      </w:r>
    </w:p>
    <w:p w14:paraId="50C7C2BE" w14:textId="77777777" w:rsidR="00A36DA6" w:rsidRDefault="00A36DA6" w:rsidP="00A36DA6">
      <w:pPr>
        <w:pStyle w:val="Tekstpodstawowy"/>
        <w:numPr>
          <w:ilvl w:val="0"/>
          <w:numId w:val="4"/>
        </w:numPr>
        <w:tabs>
          <w:tab w:val="left" w:pos="284"/>
        </w:tabs>
        <w:spacing w:after="0" w:line="276" w:lineRule="auto"/>
        <w:ind w:left="1276"/>
        <w:jc w:val="both"/>
      </w:pPr>
      <w:r>
        <w:t>decyzję o wpisie zabytku do rejestru zabytków województwa podkarpackiego lub dokument potwierdzający wpis do gminnej ewidencji zabytków,</w:t>
      </w:r>
    </w:p>
    <w:p w14:paraId="1A86C3B9" w14:textId="77777777" w:rsidR="00A36DA6" w:rsidRDefault="00A36DA6" w:rsidP="00A36DA6">
      <w:pPr>
        <w:pStyle w:val="Tekstpodstawowy"/>
        <w:numPr>
          <w:ilvl w:val="0"/>
          <w:numId w:val="4"/>
        </w:numPr>
        <w:tabs>
          <w:tab w:val="left" w:pos="284"/>
        </w:tabs>
        <w:spacing w:after="0" w:line="276" w:lineRule="auto"/>
        <w:ind w:left="1276"/>
        <w:jc w:val="both"/>
      </w:pPr>
      <w:r>
        <w:t>aktualną decyzję Wojewódzkiego Konserwatora Zabytków zezwalającą na przeprowadzenie prac lub robót objętych wnioskiem o dotację lub zalecenia konserwatorskie Wojewódzkiego</w:t>
      </w:r>
      <w:r w:rsidRPr="001516D0">
        <w:t xml:space="preserve"> </w:t>
      </w:r>
      <w:r>
        <w:t xml:space="preserve">Konserwatora Zabytków dotyczące prac przy zabytku w przypadku zabytków wpisanych jedynie do gminnej ewidencji zabytków, </w:t>
      </w:r>
    </w:p>
    <w:p w14:paraId="3F0F5BBC" w14:textId="77777777" w:rsidR="00A36DA6" w:rsidRDefault="00A36DA6" w:rsidP="00A36DA6">
      <w:pPr>
        <w:pStyle w:val="Tekstpodstawowy"/>
        <w:numPr>
          <w:ilvl w:val="0"/>
          <w:numId w:val="4"/>
        </w:numPr>
        <w:tabs>
          <w:tab w:val="left" w:pos="284"/>
        </w:tabs>
        <w:spacing w:after="0" w:line="276" w:lineRule="auto"/>
        <w:ind w:left="1276"/>
        <w:jc w:val="both"/>
      </w:pPr>
      <w:r>
        <w:t>dokument potwierdzający tytuł prawny do władania zabytkiem (aktualny odpis z księgi wieczystej, w przypadku braku księgi wieczystej nieruchomości - wypis z rejestru gruntów),</w:t>
      </w:r>
    </w:p>
    <w:p w14:paraId="4B3F18BB" w14:textId="77777777" w:rsidR="00A36DA6" w:rsidRDefault="00A36DA6" w:rsidP="00A36DA6">
      <w:pPr>
        <w:pStyle w:val="Tekstpodstawowy"/>
        <w:numPr>
          <w:ilvl w:val="0"/>
          <w:numId w:val="4"/>
        </w:numPr>
        <w:tabs>
          <w:tab w:val="left" w:pos="284"/>
        </w:tabs>
        <w:spacing w:after="0" w:line="276" w:lineRule="auto"/>
        <w:ind w:left="1276"/>
        <w:jc w:val="both"/>
      </w:pPr>
      <w:r>
        <w:t>kosztorys wraz z harmonogramem planowanych prac,</w:t>
      </w:r>
    </w:p>
    <w:p w14:paraId="4EA4AB2E" w14:textId="77777777" w:rsidR="00A36DA6" w:rsidRPr="00CE65B1" w:rsidRDefault="00A36DA6" w:rsidP="00A36DA6">
      <w:pPr>
        <w:pStyle w:val="Tekstpodstawowy"/>
        <w:numPr>
          <w:ilvl w:val="0"/>
          <w:numId w:val="4"/>
        </w:numPr>
        <w:tabs>
          <w:tab w:val="left" w:pos="284"/>
        </w:tabs>
        <w:spacing w:after="0" w:line="276" w:lineRule="auto"/>
        <w:ind w:left="1276"/>
        <w:jc w:val="both"/>
      </w:pPr>
      <w:r>
        <w:t xml:space="preserve">aktualne pozwolenie na budowę, gdy wniosek dotyczy prac lub robót </w:t>
      </w:r>
      <w:r w:rsidRPr="00CE65B1">
        <w:t>wymagających uzyskania pozw</w:t>
      </w:r>
      <w:r>
        <w:t>o</w:t>
      </w:r>
      <w:r w:rsidRPr="00CE65B1">
        <w:t>l</w:t>
      </w:r>
      <w:r>
        <w:t>e</w:t>
      </w:r>
      <w:r w:rsidRPr="00CE65B1">
        <w:t xml:space="preserve">nia na budowę. </w:t>
      </w:r>
    </w:p>
    <w:p w14:paraId="1E47D71C" w14:textId="77777777" w:rsidR="00A36DA6" w:rsidRDefault="00A36DA6" w:rsidP="00A36DA6">
      <w:pPr>
        <w:pStyle w:val="Tekstpodstawowy"/>
        <w:numPr>
          <w:ilvl w:val="0"/>
          <w:numId w:val="14"/>
        </w:numPr>
        <w:spacing w:after="0" w:line="276" w:lineRule="auto"/>
        <w:ind w:left="709"/>
        <w:jc w:val="both"/>
        <w:rPr>
          <w:szCs w:val="18"/>
        </w:rPr>
      </w:pPr>
      <w:r w:rsidRPr="00CE65B1">
        <w:rPr>
          <w:szCs w:val="18"/>
        </w:rPr>
        <w:t>Umowa o przyznanie dotacji określać będzie:</w:t>
      </w:r>
    </w:p>
    <w:p w14:paraId="45140704" w14:textId="77777777" w:rsidR="00A36DA6" w:rsidRDefault="00A36DA6" w:rsidP="00A36DA6">
      <w:pPr>
        <w:pStyle w:val="Tekstpodstawowy"/>
        <w:numPr>
          <w:ilvl w:val="1"/>
          <w:numId w:val="7"/>
        </w:numPr>
        <w:tabs>
          <w:tab w:val="left" w:pos="284"/>
        </w:tabs>
        <w:spacing w:after="0" w:line="276" w:lineRule="auto"/>
        <w:jc w:val="both"/>
        <w:rPr>
          <w:szCs w:val="18"/>
        </w:rPr>
      </w:pPr>
      <w:r w:rsidRPr="00CE65B1">
        <w:rPr>
          <w:szCs w:val="18"/>
        </w:rPr>
        <w:t>szczegółowy opis zadania, w tym cel, na jaki dotacja została przyznana oraz termin jego wykonania;</w:t>
      </w:r>
    </w:p>
    <w:p w14:paraId="2C5E06FC" w14:textId="77777777" w:rsidR="00A36DA6" w:rsidRDefault="00A36DA6" w:rsidP="00A36DA6">
      <w:pPr>
        <w:pStyle w:val="Tekstpodstawowy"/>
        <w:numPr>
          <w:ilvl w:val="1"/>
          <w:numId w:val="7"/>
        </w:numPr>
        <w:tabs>
          <w:tab w:val="left" w:pos="284"/>
        </w:tabs>
        <w:spacing w:after="0" w:line="276" w:lineRule="auto"/>
        <w:jc w:val="both"/>
        <w:rPr>
          <w:szCs w:val="18"/>
        </w:rPr>
      </w:pPr>
      <w:r w:rsidRPr="001F66C8">
        <w:rPr>
          <w:szCs w:val="18"/>
        </w:rPr>
        <w:t>wysokość dotacji udzielanej podmiotowi wykonującemu zadanie i tryb płatności;</w:t>
      </w:r>
    </w:p>
    <w:p w14:paraId="2E3EC5EB" w14:textId="77777777" w:rsidR="00A36DA6" w:rsidRDefault="00A36DA6" w:rsidP="00A36DA6">
      <w:pPr>
        <w:pStyle w:val="Tekstpodstawowy"/>
        <w:numPr>
          <w:ilvl w:val="1"/>
          <w:numId w:val="7"/>
        </w:numPr>
        <w:tabs>
          <w:tab w:val="left" w:pos="284"/>
        </w:tabs>
        <w:spacing w:after="0" w:line="276" w:lineRule="auto"/>
        <w:jc w:val="both"/>
        <w:rPr>
          <w:szCs w:val="18"/>
        </w:rPr>
      </w:pPr>
      <w:r w:rsidRPr="001F66C8">
        <w:rPr>
          <w:szCs w:val="18"/>
        </w:rPr>
        <w:t>termin wykorzystania dotacji;</w:t>
      </w:r>
    </w:p>
    <w:p w14:paraId="393B9014" w14:textId="77777777" w:rsidR="00A36DA6" w:rsidRDefault="00A36DA6" w:rsidP="00A36DA6">
      <w:pPr>
        <w:pStyle w:val="Tekstpodstawowy"/>
        <w:numPr>
          <w:ilvl w:val="1"/>
          <w:numId w:val="7"/>
        </w:numPr>
        <w:tabs>
          <w:tab w:val="left" w:pos="284"/>
        </w:tabs>
        <w:spacing w:after="0" w:line="276" w:lineRule="auto"/>
        <w:jc w:val="both"/>
        <w:rPr>
          <w:szCs w:val="18"/>
        </w:rPr>
      </w:pPr>
      <w:r w:rsidRPr="001F66C8">
        <w:rPr>
          <w:szCs w:val="18"/>
        </w:rPr>
        <w:t>tryb kontroli wykonywania zadania;</w:t>
      </w:r>
    </w:p>
    <w:p w14:paraId="3D132296" w14:textId="77777777" w:rsidR="00A36DA6" w:rsidRDefault="00A36DA6" w:rsidP="00A36DA6">
      <w:pPr>
        <w:pStyle w:val="Tekstpodstawowy"/>
        <w:numPr>
          <w:ilvl w:val="1"/>
          <w:numId w:val="7"/>
        </w:numPr>
        <w:tabs>
          <w:tab w:val="left" w:pos="284"/>
        </w:tabs>
        <w:spacing w:after="0" w:line="276" w:lineRule="auto"/>
        <w:jc w:val="both"/>
        <w:rPr>
          <w:szCs w:val="18"/>
        </w:rPr>
      </w:pPr>
      <w:r w:rsidRPr="001F66C8">
        <w:rPr>
          <w:szCs w:val="18"/>
        </w:rPr>
        <w:t>termin i sposób rozliczenia udzielonej dotacji;</w:t>
      </w:r>
    </w:p>
    <w:p w14:paraId="2222ADBC" w14:textId="77777777" w:rsidR="00A36DA6" w:rsidRDefault="00A36DA6" w:rsidP="00A36DA6">
      <w:pPr>
        <w:pStyle w:val="Tekstpodstawowy"/>
        <w:numPr>
          <w:ilvl w:val="1"/>
          <w:numId w:val="7"/>
        </w:numPr>
        <w:tabs>
          <w:tab w:val="left" w:pos="284"/>
        </w:tabs>
        <w:spacing w:after="0" w:line="276" w:lineRule="auto"/>
        <w:jc w:val="both"/>
        <w:rPr>
          <w:szCs w:val="18"/>
        </w:rPr>
      </w:pPr>
      <w:r w:rsidRPr="001F66C8">
        <w:rPr>
          <w:szCs w:val="18"/>
        </w:rPr>
        <w:t>termin zwrotu niewykorzystanej części dotacji;</w:t>
      </w:r>
    </w:p>
    <w:p w14:paraId="276FC596" w14:textId="77777777" w:rsidR="00A36DA6" w:rsidRDefault="00A36DA6" w:rsidP="00A36DA6">
      <w:pPr>
        <w:pStyle w:val="Tekstpodstawowy"/>
        <w:numPr>
          <w:ilvl w:val="1"/>
          <w:numId w:val="7"/>
        </w:numPr>
        <w:tabs>
          <w:tab w:val="left" w:pos="1004"/>
        </w:tabs>
        <w:spacing w:after="0" w:line="276" w:lineRule="auto"/>
        <w:jc w:val="both"/>
        <w:rPr>
          <w:szCs w:val="18"/>
        </w:rPr>
      </w:pPr>
      <w:r w:rsidRPr="001F66C8">
        <w:rPr>
          <w:szCs w:val="18"/>
        </w:rPr>
        <w:t>zasady promocji.</w:t>
      </w:r>
    </w:p>
    <w:p w14:paraId="05FBDF7E" w14:textId="77777777" w:rsidR="00A36DA6" w:rsidRPr="00623A70" w:rsidRDefault="00A36DA6" w:rsidP="00A36DA6">
      <w:pPr>
        <w:pStyle w:val="Tekstpodstawowy"/>
        <w:numPr>
          <w:ilvl w:val="0"/>
          <w:numId w:val="11"/>
        </w:numPr>
        <w:tabs>
          <w:tab w:val="left" w:pos="1004"/>
        </w:tabs>
        <w:spacing w:after="0" w:line="276" w:lineRule="auto"/>
        <w:jc w:val="both"/>
        <w:rPr>
          <w:szCs w:val="18"/>
        </w:rPr>
      </w:pPr>
      <w:r w:rsidRPr="00623A70">
        <w:rPr>
          <w:szCs w:val="18"/>
        </w:rPr>
        <w:t>Po podpisaniu umowy o przyznanie dotacji Podmiot staje się Beneficjentem  dotacji.</w:t>
      </w:r>
    </w:p>
    <w:p w14:paraId="2AB989A4" w14:textId="77777777" w:rsidR="00A36DA6" w:rsidRDefault="00A36DA6" w:rsidP="00A36DA6">
      <w:pPr>
        <w:pStyle w:val="Akapitzlist"/>
        <w:numPr>
          <w:ilvl w:val="0"/>
          <w:numId w:val="11"/>
        </w:numPr>
        <w:suppressAutoHyphens/>
        <w:autoSpaceDN w:val="0"/>
        <w:spacing w:after="160"/>
        <w:jc w:val="both"/>
        <w:textAlignment w:val="baseline"/>
        <w:rPr>
          <w:szCs w:val="18"/>
        </w:rPr>
      </w:pPr>
      <w:r w:rsidRPr="00290FAA">
        <w:rPr>
          <w:szCs w:val="18"/>
        </w:rPr>
        <w:t>Jeżeli w wyniku realizacji prac lub robót budowlanych przy zabytku ulegnie zmniejszeniu wartość zadania, odpowiedniemu zmniejszeniu ulegnie wysokość dotacji z zachowaniem udziału procentowego dotacji w całkowitych kosztach zadania. Jeżeli całkowity koszt realizacji zadania ulegnie zwiększeniu, wysokość dotacji pozostaje bez zmian, a Beneficjent dotacji jest zobowiązany do pokrycia różnicy pomiędzy wartością przewidywaną a wartością ostateczną.</w:t>
      </w:r>
    </w:p>
    <w:p w14:paraId="2AE21A24" w14:textId="34A53784" w:rsidR="00A36DA6" w:rsidRDefault="00A36DA6" w:rsidP="00A36DA6">
      <w:pPr>
        <w:pStyle w:val="Akapitzlist"/>
        <w:numPr>
          <w:ilvl w:val="0"/>
          <w:numId w:val="11"/>
        </w:numPr>
        <w:suppressAutoHyphens/>
        <w:autoSpaceDN w:val="0"/>
        <w:spacing w:after="160"/>
        <w:jc w:val="both"/>
        <w:textAlignment w:val="baseline"/>
        <w:rPr>
          <w:szCs w:val="18"/>
        </w:rPr>
      </w:pPr>
      <w:r w:rsidRPr="00290FAA">
        <w:rPr>
          <w:szCs w:val="18"/>
        </w:rPr>
        <w:t xml:space="preserve">W przypadku dotacji, o której mowa w </w:t>
      </w:r>
      <w:r>
        <w:t>§</w:t>
      </w:r>
      <w:r w:rsidRPr="00290FAA">
        <w:rPr>
          <w:szCs w:val="18"/>
        </w:rPr>
        <w:t xml:space="preserve"> 8 ust.1</w:t>
      </w:r>
      <w:r>
        <w:rPr>
          <w:szCs w:val="18"/>
        </w:rPr>
        <w:t xml:space="preserve"> niniejszych Zasad,</w:t>
      </w:r>
      <w:r w:rsidRPr="00290FAA">
        <w:rPr>
          <w:szCs w:val="18"/>
        </w:rPr>
        <w:t xml:space="preserve"> przekazanie dotacji następować będzie w transzach ustalonych dla każdego roku budżetowego. Wypłata transzy dotacji w kolejnym roku finansowania możliwa będzie wyłącznie po zatwierdzeniu rozliczeni</w:t>
      </w:r>
      <w:r w:rsidR="00AD11FE">
        <w:rPr>
          <w:szCs w:val="18"/>
        </w:rPr>
        <w:t>a</w:t>
      </w:r>
      <w:r w:rsidRPr="00290FAA">
        <w:rPr>
          <w:szCs w:val="18"/>
        </w:rPr>
        <w:t xml:space="preserve"> dotacji udzielonej w poprzednim roku budżetowym.</w:t>
      </w:r>
    </w:p>
    <w:p w14:paraId="3F11AE72" w14:textId="77777777" w:rsidR="00A36DA6" w:rsidRPr="00290FAA" w:rsidRDefault="00A36DA6" w:rsidP="00A36DA6">
      <w:pPr>
        <w:pStyle w:val="Akapitzlist"/>
        <w:numPr>
          <w:ilvl w:val="0"/>
          <w:numId w:val="11"/>
        </w:numPr>
        <w:suppressAutoHyphens/>
        <w:autoSpaceDN w:val="0"/>
        <w:spacing w:after="160"/>
        <w:jc w:val="both"/>
        <w:textAlignment w:val="baseline"/>
        <w:rPr>
          <w:szCs w:val="18"/>
        </w:rPr>
      </w:pPr>
      <w:r w:rsidRPr="00290FAA">
        <w:rPr>
          <w:szCs w:val="18"/>
        </w:rPr>
        <w:t>W celu rozliczeni</w:t>
      </w:r>
      <w:r>
        <w:rPr>
          <w:szCs w:val="18"/>
        </w:rPr>
        <w:t>a</w:t>
      </w:r>
      <w:r w:rsidRPr="00290FAA">
        <w:rPr>
          <w:szCs w:val="18"/>
        </w:rPr>
        <w:t xml:space="preserve"> dotacji lub transzy dotacji Beneficjent dotacji składa sprawozdanie z wykonania prac </w:t>
      </w:r>
      <w:r w:rsidRPr="00AD3F9F">
        <w:t>konserwatorski</w:t>
      </w:r>
      <w:r>
        <w:t>ch</w:t>
      </w:r>
      <w:r w:rsidRPr="00AD3F9F">
        <w:t>, restauratorski</w:t>
      </w:r>
      <w:r>
        <w:t>ch</w:t>
      </w:r>
      <w:r w:rsidRPr="00AD3F9F">
        <w:t xml:space="preserve"> lub rob</w:t>
      </w:r>
      <w:r>
        <w:t xml:space="preserve">ót </w:t>
      </w:r>
      <w:r w:rsidRPr="00AD3F9F">
        <w:t>budowlan</w:t>
      </w:r>
      <w:r>
        <w:t>ych</w:t>
      </w:r>
      <w:r w:rsidRPr="00AD3F9F">
        <w:t xml:space="preserve"> przy zabytk</w:t>
      </w:r>
      <w:r>
        <w:t>u, sporządzone zgodnie ze wzorem stanowiącym załącznik nr 2 do niniejszych zasad wraz z protokołem wykonanych prac lub robót.</w:t>
      </w:r>
    </w:p>
    <w:p w14:paraId="245E1D50" w14:textId="77777777" w:rsidR="00A36DA6" w:rsidRPr="00290FAA" w:rsidRDefault="00A36DA6" w:rsidP="00A36DA6">
      <w:pPr>
        <w:pStyle w:val="Akapitzlist"/>
        <w:numPr>
          <w:ilvl w:val="0"/>
          <w:numId w:val="11"/>
        </w:numPr>
        <w:suppressAutoHyphens/>
        <w:autoSpaceDN w:val="0"/>
        <w:spacing w:after="160"/>
        <w:jc w:val="both"/>
        <w:textAlignment w:val="baseline"/>
        <w:rPr>
          <w:szCs w:val="18"/>
        </w:rPr>
      </w:pPr>
      <w:r>
        <w:lastRenderedPageBreak/>
        <w:t>Sprawozdanie należy złożyć do 31 stycznia roku następującego po roku udzielenia dotacji lub transzy dotacji.</w:t>
      </w:r>
    </w:p>
    <w:p w14:paraId="49974DFE" w14:textId="77777777" w:rsidR="00A36DA6" w:rsidRPr="00290FAA" w:rsidRDefault="00A36DA6" w:rsidP="00A36DA6">
      <w:pPr>
        <w:pStyle w:val="Akapitzlist"/>
        <w:numPr>
          <w:ilvl w:val="0"/>
          <w:numId w:val="11"/>
        </w:numPr>
        <w:suppressAutoHyphens/>
        <w:autoSpaceDN w:val="0"/>
        <w:spacing w:after="160"/>
        <w:jc w:val="both"/>
        <w:textAlignment w:val="baseline"/>
        <w:rPr>
          <w:szCs w:val="18"/>
        </w:rPr>
      </w:pPr>
      <w:r w:rsidRPr="00290FAA">
        <w:rPr>
          <w:szCs w:val="18"/>
        </w:rPr>
        <w:t xml:space="preserve">Zwrot dotacji niewykorzystanej, wykorzystanej niezgodnie z przeznaczeniem, pobranej nienależnie lub </w:t>
      </w:r>
      <w:r>
        <w:rPr>
          <w:szCs w:val="18"/>
        </w:rPr>
        <w:t xml:space="preserve">w </w:t>
      </w:r>
      <w:r w:rsidRPr="00290FAA">
        <w:rPr>
          <w:szCs w:val="18"/>
        </w:rPr>
        <w:t>nadmiernej wysokości następuje w trybie i na zasadach określonych w ustawie o finansach publicznych.</w:t>
      </w:r>
      <w:r>
        <w:rPr>
          <w:szCs w:val="18"/>
        </w:rPr>
        <w:t>”</w:t>
      </w:r>
      <w:r w:rsidRPr="00290FAA">
        <w:rPr>
          <w:szCs w:val="18"/>
        </w:rPr>
        <w:t xml:space="preserve"> </w:t>
      </w:r>
    </w:p>
    <w:p w14:paraId="4C97F180" w14:textId="77777777" w:rsidR="00A36DA6" w:rsidRDefault="00A36DA6" w:rsidP="00A36DA6">
      <w:pPr>
        <w:suppressAutoHyphens/>
        <w:autoSpaceDN w:val="0"/>
        <w:jc w:val="both"/>
        <w:textAlignment w:val="baseline"/>
        <w:rPr>
          <w:szCs w:val="18"/>
        </w:rPr>
      </w:pPr>
    </w:p>
    <w:p w14:paraId="7C188860" w14:textId="77777777" w:rsidR="00A36DA6" w:rsidRPr="00623A70" w:rsidRDefault="00A36DA6" w:rsidP="00A36DA6">
      <w:pPr>
        <w:pStyle w:val="Akapitzlist"/>
        <w:numPr>
          <w:ilvl w:val="0"/>
          <w:numId w:val="9"/>
        </w:numPr>
        <w:suppressAutoHyphens/>
        <w:autoSpaceDN w:val="0"/>
        <w:ind w:left="142"/>
        <w:jc w:val="both"/>
        <w:textAlignment w:val="baseline"/>
        <w:rPr>
          <w:szCs w:val="18"/>
        </w:rPr>
      </w:pPr>
      <w:r w:rsidRPr="00623A70">
        <w:rPr>
          <w:szCs w:val="18"/>
        </w:rPr>
        <w:t xml:space="preserve"> </w:t>
      </w:r>
      <w:r>
        <w:t>§</w:t>
      </w:r>
      <w:r w:rsidRPr="00623A70">
        <w:rPr>
          <w:szCs w:val="18"/>
        </w:rPr>
        <w:t xml:space="preserve"> 13 otrzymuje brzmienie:</w:t>
      </w:r>
    </w:p>
    <w:p w14:paraId="5434B2A6" w14:textId="0198B8C5" w:rsidR="00A36DA6" w:rsidRDefault="00A36DA6" w:rsidP="00A36DA6">
      <w:pPr>
        <w:pStyle w:val="Tekstpodstawowy"/>
        <w:spacing w:line="276" w:lineRule="auto"/>
        <w:ind w:left="142"/>
        <w:jc w:val="both"/>
      </w:pPr>
      <w:r>
        <w:rPr>
          <w:szCs w:val="18"/>
        </w:rPr>
        <w:t>„</w:t>
      </w:r>
      <w:r w:rsidRPr="00D97B78">
        <w:rPr>
          <w:rFonts w:eastAsia="Calibri"/>
          <w:lang w:eastAsia="en-US"/>
        </w:rPr>
        <w:t xml:space="preserve">W sprawach </w:t>
      </w:r>
      <w:r>
        <w:rPr>
          <w:rFonts w:eastAsia="Calibri"/>
          <w:lang w:eastAsia="en-US"/>
        </w:rPr>
        <w:t xml:space="preserve">udzielania dotacji ze środków </w:t>
      </w:r>
      <w:r w:rsidRPr="00D97B78">
        <w:rPr>
          <w:rFonts w:eastAsia="Calibri"/>
          <w:lang w:eastAsia="en-US"/>
        </w:rPr>
        <w:t>Rządowego Programu Odbudowy</w:t>
      </w:r>
      <w:r>
        <w:rPr>
          <w:rFonts w:eastAsia="Calibri"/>
          <w:lang w:eastAsia="en-US"/>
        </w:rPr>
        <w:t xml:space="preserve"> Zabytków przyjętego uchwałą</w:t>
      </w:r>
      <w:r w:rsidRPr="00D97B78">
        <w:rPr>
          <w:rFonts w:eastAsia="Calibri"/>
          <w:lang w:eastAsia="en-US"/>
        </w:rPr>
        <w:t xml:space="preserve"> Rady Ministrów z dnia 23 listopada 2022</w:t>
      </w:r>
      <w:r>
        <w:rPr>
          <w:rFonts w:eastAsia="Calibri"/>
          <w:lang w:eastAsia="en-US"/>
        </w:rPr>
        <w:t xml:space="preserve"> r., a których zasady i tryb udzielania został nadany niniejszą uchwałą, nie stosuje się Uchwały </w:t>
      </w:r>
      <w:r w:rsidR="000E01D8">
        <w:rPr>
          <w:rFonts w:eastAsia="Calibri"/>
          <w:lang w:eastAsia="en-US"/>
        </w:rPr>
        <w:br/>
      </w:r>
      <w:r>
        <w:rPr>
          <w:rFonts w:eastAsia="Calibri"/>
          <w:lang w:eastAsia="en-US"/>
        </w:rPr>
        <w:t>Nr</w:t>
      </w:r>
      <w:bookmarkStart w:id="8" w:name="_Hlk72238861"/>
      <w:r>
        <w:rPr>
          <w:rFonts w:eastAsia="Calibri"/>
          <w:lang w:eastAsia="en-US"/>
        </w:rPr>
        <w:t xml:space="preserve"> </w:t>
      </w:r>
      <w:r w:rsidRPr="00A8421B">
        <w:t>XXX/508/20</w:t>
      </w:r>
      <w:r>
        <w:t xml:space="preserve"> z dnia 17 grudnia 2020 r., zmienionej </w:t>
      </w:r>
      <w:bookmarkEnd w:id="8"/>
      <w:r>
        <w:t>u</w:t>
      </w:r>
      <w:r w:rsidRPr="00AD3F9F">
        <w:t>chwałą Nr</w:t>
      </w:r>
      <w:r>
        <w:t xml:space="preserve"> </w:t>
      </w:r>
      <w:r w:rsidRPr="00AD3F9F">
        <w:t>XXXVII/594/21 Sejmiku</w:t>
      </w:r>
      <w:r>
        <w:t xml:space="preserve"> </w:t>
      </w:r>
      <w:r w:rsidRPr="00AD3F9F">
        <w:t>Województwa Podkarpackiego z</w:t>
      </w:r>
      <w:r>
        <w:t xml:space="preserve"> </w:t>
      </w:r>
      <w:r w:rsidRPr="00AD3F9F">
        <w:t>dnia 31 maja 2021</w:t>
      </w:r>
      <w:r>
        <w:t xml:space="preserve"> r</w:t>
      </w:r>
      <w:r w:rsidRPr="00AD3F9F">
        <w:t>.</w:t>
      </w:r>
      <w:r>
        <w:t xml:space="preserve"> w sprawie określenia </w:t>
      </w:r>
      <w:r w:rsidRPr="00A8421B">
        <w:t>zasad</w:t>
      </w:r>
      <w:r>
        <w:t xml:space="preserve"> </w:t>
      </w:r>
      <w:r w:rsidRPr="00A8421B">
        <w:t>udzielenia</w:t>
      </w:r>
      <w:r w:rsidRPr="00AD3F9F">
        <w:t xml:space="preserve"> dotacji na </w:t>
      </w:r>
      <w:bookmarkStart w:id="9" w:name="_Hlk129854054"/>
      <w:r w:rsidRPr="00AD3F9F">
        <w:t xml:space="preserve">prace konserwatorskie, restauratorskie lub roboty budowlane przy zabytkach </w:t>
      </w:r>
      <w:bookmarkEnd w:id="9"/>
      <w:r w:rsidRPr="00AD3F9F">
        <w:t>wpisanych</w:t>
      </w:r>
      <w:r>
        <w:t xml:space="preserve"> </w:t>
      </w:r>
      <w:r w:rsidRPr="00AD3F9F">
        <w:t>do</w:t>
      </w:r>
      <w:r>
        <w:t xml:space="preserve"> rejestru zabytków, </w:t>
      </w:r>
      <w:r w:rsidRPr="00AD3F9F">
        <w:t>położonych</w:t>
      </w:r>
      <w:r>
        <w:t xml:space="preserve"> </w:t>
      </w:r>
      <w:r w:rsidRPr="00AD3F9F">
        <w:t>na</w:t>
      </w:r>
      <w:r>
        <w:t xml:space="preserve"> </w:t>
      </w:r>
      <w:r w:rsidRPr="00AD3F9F">
        <w:t>obszarze</w:t>
      </w:r>
      <w:r>
        <w:t xml:space="preserve"> </w:t>
      </w:r>
      <w:r w:rsidRPr="00AD3F9F">
        <w:t>województwa</w:t>
      </w:r>
      <w:r>
        <w:t xml:space="preserve"> </w:t>
      </w:r>
      <w:r w:rsidRPr="00AD3F9F">
        <w:t>podkarpackiego</w:t>
      </w:r>
      <w:r>
        <w:t>.”</w:t>
      </w:r>
    </w:p>
    <w:p w14:paraId="04B67A2D" w14:textId="65B3A22B" w:rsidR="00A36DA6" w:rsidRPr="00A85796" w:rsidRDefault="00A36DA6" w:rsidP="00A36DA6">
      <w:pPr>
        <w:pStyle w:val="Tekstpodstawowy"/>
        <w:numPr>
          <w:ilvl w:val="0"/>
          <w:numId w:val="9"/>
        </w:numPr>
        <w:spacing w:line="276" w:lineRule="auto"/>
        <w:ind w:left="142"/>
        <w:jc w:val="both"/>
      </w:pPr>
      <w:r>
        <w:t>Załącznik nr 2 do Zasad otrzymuje brzmienie jak w załączniku do niniejszej uchwały</w:t>
      </w:r>
      <w:r w:rsidR="00040B8E">
        <w:t>.</w:t>
      </w:r>
    </w:p>
    <w:p w14:paraId="6779CB17" w14:textId="77777777" w:rsidR="00A36DA6" w:rsidRDefault="00A36DA6" w:rsidP="00A36DA6">
      <w:pPr>
        <w:spacing w:line="276" w:lineRule="auto"/>
        <w:jc w:val="center"/>
      </w:pPr>
    </w:p>
    <w:p w14:paraId="46711AC8" w14:textId="77777777" w:rsidR="00A36DA6" w:rsidRDefault="00A36DA6" w:rsidP="00A36DA6">
      <w:pPr>
        <w:spacing w:line="276" w:lineRule="auto"/>
        <w:jc w:val="center"/>
      </w:pPr>
      <w:r w:rsidRPr="00AD3F9F">
        <w:t>§ 2</w:t>
      </w:r>
    </w:p>
    <w:p w14:paraId="7C1D33EF" w14:textId="77777777" w:rsidR="00A36DA6" w:rsidRPr="00AD3F9F" w:rsidRDefault="00A36DA6" w:rsidP="00A36DA6">
      <w:pPr>
        <w:spacing w:line="276" w:lineRule="auto"/>
        <w:jc w:val="center"/>
      </w:pPr>
    </w:p>
    <w:p w14:paraId="075E4A65" w14:textId="77777777" w:rsidR="00A36DA6" w:rsidRPr="00AD3F9F" w:rsidRDefault="00A36DA6" w:rsidP="00A36DA6">
      <w:pPr>
        <w:spacing w:line="276" w:lineRule="auto"/>
        <w:jc w:val="both"/>
      </w:pPr>
      <w:r w:rsidRPr="00AD3F9F">
        <w:t>Wykonanie uchwały powierza się Zarządowi Województwa</w:t>
      </w:r>
      <w:r>
        <w:t xml:space="preserve"> Podkarpackiego</w:t>
      </w:r>
      <w:r w:rsidRPr="00AD3F9F">
        <w:t>.</w:t>
      </w:r>
    </w:p>
    <w:bookmarkEnd w:id="5"/>
    <w:p w14:paraId="4758ADD4" w14:textId="77777777" w:rsidR="00A36DA6" w:rsidRDefault="00A36DA6" w:rsidP="00A36DA6">
      <w:pPr>
        <w:spacing w:line="276" w:lineRule="auto"/>
      </w:pPr>
    </w:p>
    <w:p w14:paraId="30116D24" w14:textId="77777777" w:rsidR="00A36DA6" w:rsidRDefault="00A36DA6" w:rsidP="00A36DA6">
      <w:pPr>
        <w:spacing w:line="276" w:lineRule="auto"/>
        <w:jc w:val="center"/>
      </w:pPr>
      <w:r w:rsidRPr="00AD3F9F">
        <w:t xml:space="preserve">§ </w:t>
      </w:r>
      <w:r>
        <w:t>3</w:t>
      </w:r>
    </w:p>
    <w:p w14:paraId="2794D0BA" w14:textId="77777777" w:rsidR="00A36DA6" w:rsidRPr="006C4792" w:rsidRDefault="00A36DA6" w:rsidP="00A36DA6">
      <w:pPr>
        <w:suppressAutoHyphens/>
        <w:autoSpaceDN w:val="0"/>
        <w:jc w:val="center"/>
        <w:textAlignment w:val="baseline"/>
        <w:rPr>
          <w:szCs w:val="18"/>
        </w:rPr>
      </w:pPr>
    </w:p>
    <w:p w14:paraId="13183076" w14:textId="77777777" w:rsidR="00A36DA6" w:rsidRPr="003C392E" w:rsidRDefault="00A36DA6" w:rsidP="00A36DA6">
      <w:pPr>
        <w:suppressAutoHyphens/>
        <w:autoSpaceDN w:val="0"/>
        <w:spacing w:line="276" w:lineRule="auto"/>
        <w:jc w:val="both"/>
        <w:textAlignment w:val="baseline"/>
        <w:rPr>
          <w:szCs w:val="18"/>
        </w:rPr>
      </w:pPr>
      <w:r w:rsidRPr="003C392E">
        <w:rPr>
          <w:szCs w:val="18"/>
        </w:rPr>
        <w:t xml:space="preserve">Uchwała wchodzi w życie po upływie </w:t>
      </w:r>
      <w:r>
        <w:rPr>
          <w:szCs w:val="18"/>
        </w:rPr>
        <w:t xml:space="preserve">14 </w:t>
      </w:r>
      <w:r w:rsidRPr="003C392E">
        <w:rPr>
          <w:szCs w:val="18"/>
        </w:rPr>
        <w:t xml:space="preserve">dni od dnia ogłoszenia w Dzienniku Urzędowym Województwa Podkarpackiego. </w:t>
      </w:r>
    </w:p>
    <w:p w14:paraId="2207DDE2" w14:textId="77777777" w:rsidR="00A36DA6" w:rsidRDefault="00A36DA6" w:rsidP="00A36DA6">
      <w:pPr>
        <w:spacing w:line="276" w:lineRule="auto"/>
        <w:jc w:val="center"/>
      </w:pPr>
    </w:p>
    <w:p w14:paraId="22D7F7BA" w14:textId="77777777" w:rsidR="00A36DA6" w:rsidRPr="008218CA" w:rsidRDefault="00A36DA6" w:rsidP="00A36DA6">
      <w:pPr>
        <w:spacing w:line="276" w:lineRule="auto"/>
        <w:jc w:val="center"/>
        <w:rPr>
          <w:b/>
          <w:bCs/>
        </w:rPr>
      </w:pPr>
      <w:r>
        <w:br w:type="column"/>
      </w:r>
      <w:r w:rsidRPr="008218CA">
        <w:rPr>
          <w:b/>
          <w:bCs/>
        </w:rPr>
        <w:lastRenderedPageBreak/>
        <w:t>UZASADNIENIE</w:t>
      </w:r>
    </w:p>
    <w:p w14:paraId="52475F21" w14:textId="77777777" w:rsidR="00A36DA6" w:rsidRDefault="00A36DA6" w:rsidP="00A36DA6">
      <w:pPr>
        <w:spacing w:line="276" w:lineRule="auto"/>
        <w:jc w:val="center"/>
      </w:pPr>
    </w:p>
    <w:p w14:paraId="1719568C" w14:textId="77777777" w:rsidR="00A36DA6" w:rsidRDefault="00A36DA6" w:rsidP="00A36DA6">
      <w:pPr>
        <w:suppressAutoHyphens/>
        <w:autoSpaceDN w:val="0"/>
        <w:spacing w:line="276" w:lineRule="auto"/>
        <w:ind w:firstLine="708"/>
        <w:jc w:val="both"/>
        <w:textAlignment w:val="baseline"/>
        <w:rPr>
          <w:shd w:val="clear" w:color="auto" w:fill="FFFFFF"/>
          <w:lang w:eastAsia="en-US"/>
        </w:rPr>
      </w:pPr>
      <w:r w:rsidRPr="008218CA">
        <w:rPr>
          <w:bCs/>
          <w:lang w:eastAsia="en-US"/>
        </w:rPr>
        <w:t xml:space="preserve">W związku z ogłoszeniem przez Rząd RP </w:t>
      </w:r>
      <w:r w:rsidRPr="008218CA">
        <w:rPr>
          <w:shd w:val="clear" w:color="auto" w:fill="FFFFFF"/>
          <w:lang w:eastAsia="en-US"/>
        </w:rPr>
        <w:t xml:space="preserve">Programu Odbudowy Zabytków, który kierowany jest w sposób bezpośredni do jednostek samorządu terytorialnego, </w:t>
      </w:r>
      <w:r>
        <w:rPr>
          <w:shd w:val="clear" w:color="auto" w:fill="FFFFFF"/>
          <w:lang w:eastAsia="en-US"/>
        </w:rPr>
        <w:t xml:space="preserve">Samorząd Województwa Podkarpackiego opracował </w:t>
      </w:r>
      <w:r w:rsidRPr="008218CA">
        <w:rPr>
          <w:shd w:val="clear" w:color="auto" w:fill="FFFFFF"/>
          <w:lang w:eastAsia="en-US"/>
        </w:rPr>
        <w:t>Szczegółow</w:t>
      </w:r>
      <w:r>
        <w:rPr>
          <w:shd w:val="clear" w:color="auto" w:fill="FFFFFF"/>
          <w:lang w:eastAsia="en-US"/>
        </w:rPr>
        <w:t>e</w:t>
      </w:r>
      <w:r w:rsidRPr="008218CA">
        <w:rPr>
          <w:shd w:val="clear" w:color="auto" w:fill="FFFFFF"/>
          <w:lang w:eastAsia="en-US"/>
        </w:rPr>
        <w:t xml:space="preserve"> zasad</w:t>
      </w:r>
      <w:r>
        <w:rPr>
          <w:shd w:val="clear" w:color="auto" w:fill="FFFFFF"/>
          <w:lang w:eastAsia="en-US"/>
        </w:rPr>
        <w:t>y</w:t>
      </w:r>
      <w:r w:rsidRPr="008218CA">
        <w:rPr>
          <w:shd w:val="clear" w:color="auto" w:fill="FFFFFF"/>
          <w:lang w:eastAsia="en-US"/>
        </w:rPr>
        <w:t xml:space="preserve"> i tryb udzielania dotacji na prace związane z ochroną zabytków w ramach Rządowego Programu Odbudowy Zabytków</w:t>
      </w:r>
      <w:r>
        <w:rPr>
          <w:shd w:val="clear" w:color="auto" w:fill="FFFFFF"/>
          <w:lang w:eastAsia="en-US"/>
        </w:rPr>
        <w:t>, które Sejmik Województwa Podkarpackiego przyjął uchwałą Nr LVIII/1015/23 w dniu 27 lutego 2023 r.</w:t>
      </w:r>
    </w:p>
    <w:p w14:paraId="4219FF5E" w14:textId="77777777" w:rsidR="00A36DA6" w:rsidRDefault="00A36DA6" w:rsidP="00A36DA6">
      <w:pPr>
        <w:spacing w:line="276" w:lineRule="auto"/>
        <w:ind w:firstLine="708"/>
        <w:jc w:val="both"/>
        <w:rPr>
          <w:shd w:val="clear" w:color="auto" w:fill="FFFFFF"/>
          <w:lang w:eastAsia="en-US"/>
        </w:rPr>
      </w:pPr>
      <w:r>
        <w:rPr>
          <w:shd w:val="clear" w:color="auto" w:fill="FFFFFF"/>
          <w:lang w:eastAsia="en-US"/>
        </w:rPr>
        <w:t>W związku z tym, że Regionalna Izba Obrachunkowa wszczęła postępowanie związane z oceną zgodności z prawem ww. Uchwały, o czym poinformowano w piśmie z dnia 15 marca br., oraz jej wcześniejszymi sugestiami, wprowadzenie zmian do Uchwały jest w pełni uzasadnione.</w:t>
      </w:r>
    </w:p>
    <w:p w14:paraId="7A669010" w14:textId="77777777" w:rsidR="00A36DA6" w:rsidRPr="006C4792" w:rsidRDefault="00A36DA6" w:rsidP="00A36DA6">
      <w:pPr>
        <w:spacing w:line="276" w:lineRule="auto"/>
        <w:jc w:val="center"/>
      </w:pPr>
    </w:p>
    <w:p w14:paraId="42FEE4AA" w14:textId="77777777" w:rsidR="006C4792" w:rsidRPr="00A36DA6" w:rsidRDefault="006C4792" w:rsidP="00A36DA6"/>
    <w:sectPr w:rsidR="006C4792" w:rsidRPr="00A36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4D97"/>
    <w:multiLevelType w:val="hybridMultilevel"/>
    <w:tmpl w:val="35CAE666"/>
    <w:lvl w:ilvl="0" w:tplc="F2FA2AA4">
      <w:start w:val="5"/>
      <w:numFmt w:val="decimal"/>
      <w:lvlText w:val="%1.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90361E"/>
    <w:multiLevelType w:val="hybridMultilevel"/>
    <w:tmpl w:val="B9D6D98C"/>
    <w:lvl w:ilvl="0" w:tplc="7DA48F3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3E44F79"/>
    <w:multiLevelType w:val="hybridMultilevel"/>
    <w:tmpl w:val="F858DCF6"/>
    <w:lvl w:ilvl="0" w:tplc="5ACEF6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B865FE"/>
    <w:multiLevelType w:val="multilevel"/>
    <w:tmpl w:val="21F0763E"/>
    <w:lvl w:ilvl="0">
      <w:start w:val="1"/>
      <w:numFmt w:val="decimal"/>
      <w:lvlText w:val="%1."/>
      <w:lvlJc w:val="left"/>
      <w:pPr>
        <w:ind w:left="1429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972657C"/>
    <w:multiLevelType w:val="hybridMultilevel"/>
    <w:tmpl w:val="59D47B44"/>
    <w:lvl w:ilvl="0" w:tplc="07A8397A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07B440E"/>
    <w:multiLevelType w:val="hybridMultilevel"/>
    <w:tmpl w:val="9F1220B8"/>
    <w:lvl w:ilvl="0" w:tplc="B84CC32C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D0BDC"/>
    <w:multiLevelType w:val="hybridMultilevel"/>
    <w:tmpl w:val="F434EEB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C1455"/>
    <w:multiLevelType w:val="hybridMultilevel"/>
    <w:tmpl w:val="A51E125C"/>
    <w:lvl w:ilvl="0" w:tplc="8E8AC4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D3B66768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3E64E88"/>
    <w:multiLevelType w:val="hybridMultilevel"/>
    <w:tmpl w:val="90C68D7E"/>
    <w:lvl w:ilvl="0" w:tplc="52F87F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6A47B1"/>
    <w:multiLevelType w:val="hybridMultilevel"/>
    <w:tmpl w:val="2486AA90"/>
    <w:lvl w:ilvl="0" w:tplc="DDF0CCBE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2F8567A"/>
    <w:multiLevelType w:val="multilevel"/>
    <w:tmpl w:val="9D6E2A82"/>
    <w:lvl w:ilvl="0">
      <w:start w:val="1"/>
      <w:numFmt w:val="decimal"/>
      <w:lvlText w:val="%1."/>
      <w:lvlJc w:val="left"/>
      <w:pPr>
        <w:ind w:left="1429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0853C69"/>
    <w:multiLevelType w:val="hybridMultilevel"/>
    <w:tmpl w:val="684EE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4B08A0"/>
    <w:multiLevelType w:val="hybridMultilevel"/>
    <w:tmpl w:val="348899D0"/>
    <w:lvl w:ilvl="0" w:tplc="0415000F">
      <w:start w:val="1"/>
      <w:numFmt w:val="decimal"/>
      <w:lvlText w:val="%1."/>
      <w:lvlJc w:val="left"/>
      <w:pPr>
        <w:ind w:left="874" w:hanging="360"/>
      </w:pPr>
    </w:lvl>
    <w:lvl w:ilvl="1" w:tplc="04150019" w:tentative="1">
      <w:start w:val="1"/>
      <w:numFmt w:val="lowerLetter"/>
      <w:lvlText w:val="%2."/>
      <w:lvlJc w:val="left"/>
      <w:pPr>
        <w:ind w:left="1594" w:hanging="360"/>
      </w:pPr>
    </w:lvl>
    <w:lvl w:ilvl="2" w:tplc="0415001B" w:tentative="1">
      <w:start w:val="1"/>
      <w:numFmt w:val="lowerRoman"/>
      <w:lvlText w:val="%3."/>
      <w:lvlJc w:val="right"/>
      <w:pPr>
        <w:ind w:left="2314" w:hanging="180"/>
      </w:pPr>
    </w:lvl>
    <w:lvl w:ilvl="3" w:tplc="0415000F" w:tentative="1">
      <w:start w:val="1"/>
      <w:numFmt w:val="decimal"/>
      <w:lvlText w:val="%4."/>
      <w:lvlJc w:val="left"/>
      <w:pPr>
        <w:ind w:left="3034" w:hanging="360"/>
      </w:pPr>
    </w:lvl>
    <w:lvl w:ilvl="4" w:tplc="04150019" w:tentative="1">
      <w:start w:val="1"/>
      <w:numFmt w:val="lowerLetter"/>
      <w:lvlText w:val="%5."/>
      <w:lvlJc w:val="left"/>
      <w:pPr>
        <w:ind w:left="3754" w:hanging="360"/>
      </w:pPr>
    </w:lvl>
    <w:lvl w:ilvl="5" w:tplc="0415001B" w:tentative="1">
      <w:start w:val="1"/>
      <w:numFmt w:val="lowerRoman"/>
      <w:lvlText w:val="%6."/>
      <w:lvlJc w:val="right"/>
      <w:pPr>
        <w:ind w:left="4474" w:hanging="180"/>
      </w:pPr>
    </w:lvl>
    <w:lvl w:ilvl="6" w:tplc="0415000F" w:tentative="1">
      <w:start w:val="1"/>
      <w:numFmt w:val="decimal"/>
      <w:lvlText w:val="%7."/>
      <w:lvlJc w:val="left"/>
      <w:pPr>
        <w:ind w:left="5194" w:hanging="360"/>
      </w:pPr>
    </w:lvl>
    <w:lvl w:ilvl="7" w:tplc="04150019" w:tentative="1">
      <w:start w:val="1"/>
      <w:numFmt w:val="lowerLetter"/>
      <w:lvlText w:val="%8."/>
      <w:lvlJc w:val="left"/>
      <w:pPr>
        <w:ind w:left="5914" w:hanging="360"/>
      </w:pPr>
    </w:lvl>
    <w:lvl w:ilvl="8" w:tplc="0415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3" w15:restartNumberingAfterBreak="0">
    <w:nsid w:val="7EFA0F46"/>
    <w:multiLevelType w:val="hybridMultilevel"/>
    <w:tmpl w:val="E68AFBC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11"/>
  </w:num>
  <w:num w:numId="10">
    <w:abstractNumId w:val="3"/>
  </w:num>
  <w:num w:numId="11">
    <w:abstractNumId w:val="13"/>
  </w:num>
  <w:num w:numId="12">
    <w:abstractNumId w:val="1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792"/>
    <w:rsid w:val="00030417"/>
    <w:rsid w:val="00040B8E"/>
    <w:rsid w:val="000E01D8"/>
    <w:rsid w:val="00145DCE"/>
    <w:rsid w:val="001516D0"/>
    <w:rsid w:val="0019427C"/>
    <w:rsid w:val="001A26BD"/>
    <w:rsid w:val="001F66C8"/>
    <w:rsid w:val="00260991"/>
    <w:rsid w:val="00290FAA"/>
    <w:rsid w:val="003443F1"/>
    <w:rsid w:val="00373D92"/>
    <w:rsid w:val="003779F6"/>
    <w:rsid w:val="00381440"/>
    <w:rsid w:val="003B79CE"/>
    <w:rsid w:val="003C392E"/>
    <w:rsid w:val="003F4CDE"/>
    <w:rsid w:val="003F6F22"/>
    <w:rsid w:val="0051255A"/>
    <w:rsid w:val="005B682C"/>
    <w:rsid w:val="005F7A12"/>
    <w:rsid w:val="00623A70"/>
    <w:rsid w:val="006C4792"/>
    <w:rsid w:val="007571A7"/>
    <w:rsid w:val="007C2D7C"/>
    <w:rsid w:val="007C611E"/>
    <w:rsid w:val="007E7A03"/>
    <w:rsid w:val="009512F0"/>
    <w:rsid w:val="00A1772F"/>
    <w:rsid w:val="00A36DA6"/>
    <w:rsid w:val="00A52F20"/>
    <w:rsid w:val="00A600FE"/>
    <w:rsid w:val="00A85796"/>
    <w:rsid w:val="00AA3749"/>
    <w:rsid w:val="00AD11FE"/>
    <w:rsid w:val="00B3068B"/>
    <w:rsid w:val="00BA4B24"/>
    <w:rsid w:val="00BE0B81"/>
    <w:rsid w:val="00C36BA2"/>
    <w:rsid w:val="00C61CDA"/>
    <w:rsid w:val="00CE65B1"/>
    <w:rsid w:val="00CF3EAF"/>
    <w:rsid w:val="00D2073B"/>
    <w:rsid w:val="00D30196"/>
    <w:rsid w:val="00D476E1"/>
    <w:rsid w:val="00D56000"/>
    <w:rsid w:val="00D97B78"/>
    <w:rsid w:val="00DD4498"/>
    <w:rsid w:val="00E160B7"/>
    <w:rsid w:val="00E2302C"/>
    <w:rsid w:val="00E366CC"/>
    <w:rsid w:val="00F65985"/>
    <w:rsid w:val="00FC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A1AA"/>
  <w15:chartTrackingRefBased/>
  <w15:docId w15:val="{09AD0813-E587-4609-BFCE-3C54DF4D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479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xt-title-11">
    <w:name w:val="txt-title-11"/>
    <w:basedOn w:val="Domylnaczcionkaakapitu"/>
    <w:rsid w:val="006C4792"/>
    <w:rPr>
      <w:rFonts w:ascii="Tahoma" w:hAnsi="Tahoma" w:cs="Tahoma" w:hint="default"/>
      <w:color w:val="FF6600"/>
      <w:sz w:val="26"/>
      <w:szCs w:val="26"/>
    </w:rPr>
  </w:style>
  <w:style w:type="paragraph" w:styleId="Tytu">
    <w:name w:val="Title"/>
    <w:basedOn w:val="Normalny"/>
    <w:link w:val="TytuZnak"/>
    <w:qFormat/>
    <w:rsid w:val="006C4792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6C4792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304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30417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97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Sadecka Małgorzata</dc:creator>
  <cp:keywords/>
  <dc:description/>
  <cp:lastModifiedBy>Wojdon Adriana</cp:lastModifiedBy>
  <cp:revision>3</cp:revision>
  <cp:lastPrinted>2023-03-17T10:15:00Z</cp:lastPrinted>
  <dcterms:created xsi:type="dcterms:W3CDTF">2023-03-20T07:59:00Z</dcterms:created>
  <dcterms:modified xsi:type="dcterms:W3CDTF">2023-03-20T08:03:00Z</dcterms:modified>
</cp:coreProperties>
</file>