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18" w:rsidRDefault="00BF51D5">
      <w:pPr>
        <w:pStyle w:val="Standard"/>
        <w:spacing w:line="360" w:lineRule="auto"/>
        <w:ind w:left="709" w:firstLine="709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Sprawozdanie z działalności Komisji Skarg, Wniosków i Petycji Sejmiku Województwa Podkarpackiego za 2022 r.</w:t>
      </w:r>
    </w:p>
    <w:p w:rsidR="00B71818" w:rsidRDefault="00B71818">
      <w:pPr>
        <w:pStyle w:val="Standard"/>
        <w:spacing w:line="360" w:lineRule="auto"/>
        <w:jc w:val="both"/>
        <w:rPr>
          <w:rFonts w:ascii="Arial" w:hAnsi="Arial"/>
        </w:rPr>
      </w:pP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Komisja Skarg, Wniosków i Petycji powołana została Uchwała Nr I/15/18 </w:t>
      </w:r>
      <w:r>
        <w:rPr>
          <w:rFonts w:ascii="Arial" w:hAnsi="Arial"/>
        </w:rPr>
        <w:t xml:space="preserve">Sejmiku Województwa Podkarpackiego z dnia 19 listopada 2018 r. w sprawie powołania składu osobowego Komisji Skarg, Wniosków i Petycji Sejmiku Województwa Podkarpackiego. </w:t>
      </w:r>
    </w:p>
    <w:p w:rsidR="00B71818" w:rsidRDefault="00B71818">
      <w:pPr>
        <w:pStyle w:val="Standard"/>
        <w:spacing w:line="360" w:lineRule="auto"/>
        <w:rPr>
          <w:rFonts w:ascii="Arial" w:hAnsi="Arial"/>
        </w:rPr>
      </w:pPr>
    </w:p>
    <w:p w:rsidR="00B71818" w:rsidRDefault="00BF51D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Komisja pracuje w składzie 5 - osobowym tj.: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1. Pani Maria Napieracz - Przewodnicząc</w:t>
      </w:r>
      <w:r>
        <w:rPr>
          <w:rFonts w:ascii="Arial" w:hAnsi="Arial"/>
        </w:rPr>
        <w:t>a Komisji,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2. Pani Joanna Bril - Wiceprzewodnicząca Komisji,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3. Pani Monika Brewczak - Sekretarz Komisji,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 Pan Antoni Pikul - Członek Komisji,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5. Pan Andrzej Nepelski - Członek Komisji.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Komisja obradowała i realizowała swoje kompetencje w oparciu o ustaw</w:t>
      </w:r>
      <w:r>
        <w:rPr>
          <w:rFonts w:ascii="Arial" w:hAnsi="Arial"/>
        </w:rPr>
        <w:t xml:space="preserve">ę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z dnia 5 czerwca 1998 r. o samorządzie województwa oraz przyjęty przez Sejmik Województwa Podkarpackiego – Statut Województwa Podkarpackiego oraz Regulamin Sejmiku. 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2022 r. odbyło się 5 posiedzeń Komisji Skarg, Wniosków i Petycji.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Problematyką posied</w:t>
      </w:r>
      <w:r>
        <w:rPr>
          <w:rFonts w:ascii="Arial" w:hAnsi="Arial"/>
        </w:rPr>
        <w:t xml:space="preserve">zeń Komisji było rozpatrywanie skarg na działania Marszałka Województwa Podkarpackiego, Zarządu Województwa oraz wojewódzkiej samorządowej jednostki organizacyjnej tj. Podkarpackiego Zarządu Dróg Wojewódzkich w Rzeszowie, </w:t>
      </w:r>
      <w:r>
        <w:rPr>
          <w:rFonts w:ascii="Arial" w:hAnsi="Arial"/>
        </w:rPr>
        <w:br/>
      </w:r>
      <w:r>
        <w:rPr>
          <w:rFonts w:ascii="Arial" w:hAnsi="Arial"/>
        </w:rPr>
        <w:t>oraz petycji, które wpłynęły do K</w:t>
      </w:r>
      <w:r>
        <w:rPr>
          <w:rFonts w:ascii="Arial" w:hAnsi="Arial"/>
        </w:rPr>
        <w:t xml:space="preserve">ancelarii Sejmiku i mieściły się w zakresem działania </w:t>
      </w:r>
      <w:r>
        <w:rPr>
          <w:rFonts w:ascii="Arial" w:hAnsi="Arial"/>
        </w:rPr>
        <w:br/>
      </w:r>
      <w:r>
        <w:rPr>
          <w:rFonts w:ascii="Arial" w:hAnsi="Arial"/>
        </w:rPr>
        <w:t>i kompetencji Sejmiku Województwa Podkarpackiego.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Uszczegóławiając powyższe wskazać należy, że przedmiotem prac Komisji było: rozpatrzenie 4 skarg i 3 petycji:</w:t>
      </w:r>
    </w:p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bookmarkStart w:id="1" w:name="_Hlk122002109"/>
      <w:r>
        <w:rPr>
          <w:rFonts w:ascii="Arial" w:hAnsi="Arial"/>
          <w:bCs/>
        </w:rPr>
        <w:t>skargi na działania Marszałka Województwa</w:t>
      </w:r>
      <w:r>
        <w:rPr>
          <w:rFonts w:ascii="Arial" w:hAnsi="Arial"/>
          <w:bCs/>
        </w:rPr>
        <w:t xml:space="preserve"> Podkarpackiego </w:t>
      </w:r>
      <w:r>
        <w:rPr>
          <w:rFonts w:ascii="Arial" w:hAnsi="Arial"/>
          <w:bCs/>
        </w:rPr>
        <w:br/>
      </w:r>
      <w:r>
        <w:rPr>
          <w:rFonts w:ascii="Arial" w:hAnsi="Arial"/>
        </w:rPr>
        <w:t>w związku z organizacją ruchu na drodze wojewódzkiej nr 835 stanowiącej obwodnicę Dynowa,</w:t>
      </w:r>
    </w:p>
    <w:bookmarkEnd w:id="1"/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/>
        </w:rPr>
        <w:t xml:space="preserve">skargi na działania Zarządu Województwa Podkarpackiego </w:t>
      </w:r>
      <w:r>
        <w:rPr>
          <w:rFonts w:ascii="Arial" w:eastAsia="Arial" w:hAnsi="Arial"/>
          <w:bCs/>
        </w:rPr>
        <w:t xml:space="preserve">w związku z </w:t>
      </w:r>
      <w:r>
        <w:rPr>
          <w:rFonts w:ascii="Arial" w:eastAsia="Times New Roman" w:hAnsi="Arial"/>
          <w:bCs/>
          <w:kern w:val="0"/>
          <w:lang w:eastAsia="pl-PL" w:bidi="ar-SA"/>
        </w:rPr>
        <w:t>ogłoszonym otwartym konkursem ofert na realizację w roku 2022 zadań publicznych Wo</w:t>
      </w:r>
      <w:r>
        <w:rPr>
          <w:rFonts w:ascii="Arial" w:eastAsia="Times New Roman" w:hAnsi="Arial"/>
          <w:bCs/>
          <w:kern w:val="0"/>
          <w:lang w:eastAsia="pl-PL" w:bidi="ar-SA"/>
        </w:rPr>
        <w:t xml:space="preserve">jewództwa Podkarpackiego w zakresie przeciwdziałania przemocy </w:t>
      </w:r>
      <w:r>
        <w:rPr>
          <w:rFonts w:ascii="Arial" w:eastAsia="Times New Roman" w:hAnsi="Arial"/>
          <w:bCs/>
          <w:kern w:val="0"/>
          <w:lang w:eastAsia="pl-PL" w:bidi="ar-SA"/>
        </w:rPr>
        <w:br/>
      </w:r>
      <w:r>
        <w:rPr>
          <w:rFonts w:ascii="Arial" w:eastAsia="Times New Roman" w:hAnsi="Arial"/>
          <w:bCs/>
          <w:kern w:val="0"/>
          <w:lang w:eastAsia="pl-PL" w:bidi="ar-SA"/>
        </w:rPr>
        <w:t xml:space="preserve">w rodzinie wynikających z „Wojewódzkiego Programu Przeciwdziałania Przemocy </w:t>
      </w:r>
      <w:r>
        <w:rPr>
          <w:rFonts w:ascii="Arial" w:eastAsia="Times New Roman" w:hAnsi="Arial"/>
          <w:bCs/>
          <w:kern w:val="0"/>
          <w:lang w:eastAsia="pl-PL" w:bidi="ar-SA"/>
        </w:rPr>
        <w:br/>
      </w:r>
      <w:r>
        <w:rPr>
          <w:rFonts w:ascii="Arial" w:eastAsia="Times New Roman" w:hAnsi="Arial"/>
          <w:bCs/>
          <w:kern w:val="0"/>
          <w:lang w:eastAsia="pl-PL" w:bidi="ar-SA"/>
        </w:rPr>
        <w:t>w Rodzinie na rok 2022”,</w:t>
      </w:r>
    </w:p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/>
        </w:rPr>
        <w:t xml:space="preserve">skargi na działania Podkarpackiego Zarządu Dróg Wojewódzkich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w Rzeszowie w zakresie </w:t>
      </w:r>
      <w:r>
        <w:rPr>
          <w:rFonts w:ascii="Arial" w:eastAsia="Arial" w:hAnsi="Arial"/>
        </w:rPr>
        <w:t xml:space="preserve">organizacji zjazdu z drogi wojewódzkiej nr 855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lastRenderedPageBreak/>
        <w:t>w miejscowości Rzeczyca Długa w gminie Radomyśl nad Sanem</w:t>
      </w:r>
      <w:r>
        <w:rPr>
          <w:rFonts w:ascii="Arial" w:hAnsi="Arial"/>
          <w:bCs/>
        </w:rPr>
        <w:t>,</w:t>
      </w:r>
    </w:p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/>
        </w:rPr>
        <w:t xml:space="preserve">skargi na działania </w:t>
      </w:r>
      <w:bookmarkStart w:id="2" w:name="_Hlk118874330"/>
      <w:r>
        <w:rPr>
          <w:rFonts w:ascii="Arial" w:eastAsia="Arial" w:hAnsi="Arial"/>
        </w:rPr>
        <w:t xml:space="preserve">Podkarpackiego Zarządu Dróg Wojewódzkich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w Rzeszowie </w:t>
      </w:r>
      <w:bookmarkEnd w:id="2"/>
      <w:r>
        <w:rPr>
          <w:rFonts w:ascii="Arial" w:eastAsia="Arial" w:hAnsi="Arial"/>
        </w:rPr>
        <w:t>w związku z opracowanym projektem budowlanym dla rozbudowy drogi wojewódzki</w:t>
      </w:r>
      <w:r>
        <w:rPr>
          <w:rFonts w:ascii="Arial" w:eastAsia="Arial" w:hAnsi="Arial"/>
        </w:rPr>
        <w:t>ej nr 877 Naklik – Leżajsk – Łańcut – Dylągówka – Szklary na odcinku Dylągówka – Szklary</w:t>
      </w:r>
      <w:r>
        <w:t>,</w:t>
      </w:r>
    </w:p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bCs/>
        </w:rPr>
        <w:t xml:space="preserve">2 petycji tożsamej treści </w:t>
      </w:r>
      <w:r>
        <w:rPr>
          <w:rFonts w:ascii="Arial" w:eastAsia="Times New Roman" w:hAnsi="Arial"/>
          <w:bCs/>
          <w:kern w:val="0"/>
          <w:lang w:eastAsia="pl-PL" w:bidi="ar-SA"/>
        </w:rPr>
        <w:t>dotyczących naprawy programów ochrony powietrza złożonych przez dwa różne podmioty,</w:t>
      </w:r>
    </w:p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bCs/>
        </w:rPr>
        <w:t>petycji w sprawie podjęcia przez Sejmik Województwa Podk</w:t>
      </w:r>
      <w:r>
        <w:rPr>
          <w:rFonts w:ascii="Arial" w:hAnsi="Arial"/>
          <w:bCs/>
        </w:rPr>
        <w:t xml:space="preserve">arpackiego uchwały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>w sprawie przyjęcia „Karty Praw Rodziny”,</w:t>
      </w:r>
    </w:p>
    <w:p w:rsidR="00B71818" w:rsidRDefault="00BF51D5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Odnosząc się szczegółowo do problematyki poszczególnych spraw wskazać należy, że:</w:t>
      </w:r>
    </w:p>
    <w:p w:rsidR="00B71818" w:rsidRDefault="00BF51D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bCs/>
        </w:rPr>
        <w:t xml:space="preserve">w skardze na działania Marszałka Województwa Podkarpackiego </w:t>
      </w:r>
      <w:r>
        <w:rPr>
          <w:rFonts w:ascii="Arial" w:hAnsi="Arial"/>
          <w:bCs/>
        </w:rPr>
        <w:br/>
      </w:r>
      <w:r>
        <w:rPr>
          <w:rFonts w:ascii="Arial" w:hAnsi="Arial"/>
        </w:rPr>
        <w:t>w związku z organizacją ruchu na drodze wojewódzkie</w:t>
      </w:r>
      <w:r>
        <w:rPr>
          <w:rFonts w:ascii="Arial" w:hAnsi="Arial"/>
        </w:rPr>
        <w:t>j nr 835 stanowiącej obwodnicę Dynowa,</w:t>
      </w:r>
      <w:r>
        <w:t xml:space="preserve"> </w:t>
      </w:r>
      <w:r>
        <w:rPr>
          <w:rFonts w:ascii="Arial" w:hAnsi="Arial"/>
        </w:rPr>
        <w:t>skarżący wskazywał na błędną organizację ruchu na drodze wojewódzkiej nr 835, w tym ustawienie znaku D-48 „zmiana pierwszeństwa”  zawierającego błędny symbol znaku ostrzegawczego. Na etapie prowadzonego postępowania w</w:t>
      </w:r>
      <w:r>
        <w:rPr>
          <w:rFonts w:ascii="Arial" w:hAnsi="Arial"/>
        </w:rPr>
        <w:t xml:space="preserve">yjaśniającego rozpatrywanie skargi stało się bezprzedmiotowe bowiem oznakowanie drogi zostało usunięte a zgłaszany zarzut braku należytej reakcji na zaistniał sytuację nie potwierdził się. </w:t>
      </w:r>
      <w:proofErr w:type="spellStart"/>
      <w:r>
        <w:rPr>
          <w:rFonts w:ascii="Arial" w:eastAsia="Andale Sans UI" w:hAnsi="Arial"/>
          <w:color w:val="000000"/>
          <w:lang w:val="de-DE" w:eastAsia="ja-JP" w:bidi="fa-IR"/>
        </w:rPr>
        <w:t>Skarga</w:t>
      </w:r>
      <w:proofErr w:type="spellEnd"/>
      <w:r>
        <w:rPr>
          <w:rFonts w:ascii="Arial" w:eastAsia="Andale Sans UI" w:hAnsi="Arial"/>
          <w:color w:val="00000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/>
          <w:color w:val="000000"/>
          <w:lang w:val="de-DE" w:eastAsia="ja-JP" w:bidi="fa-IR"/>
        </w:rPr>
        <w:t>uznana</w:t>
      </w:r>
      <w:proofErr w:type="spellEnd"/>
      <w:r>
        <w:rPr>
          <w:rFonts w:ascii="Arial" w:eastAsia="Andale Sans UI" w:hAnsi="Arial"/>
          <w:color w:val="00000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/>
          <w:color w:val="000000"/>
          <w:lang w:val="de-DE" w:eastAsia="ja-JP" w:bidi="fa-IR"/>
        </w:rPr>
        <w:t>została</w:t>
      </w:r>
      <w:proofErr w:type="spellEnd"/>
      <w:r>
        <w:rPr>
          <w:rFonts w:ascii="Arial" w:eastAsia="Andale Sans UI" w:hAnsi="Arial"/>
          <w:color w:val="00000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/>
          <w:color w:val="000000"/>
          <w:lang w:val="de-DE" w:eastAsia="ja-JP" w:bidi="fa-IR"/>
        </w:rPr>
        <w:t>za</w:t>
      </w:r>
      <w:proofErr w:type="spellEnd"/>
      <w:r>
        <w:rPr>
          <w:rFonts w:ascii="Arial" w:eastAsia="Andale Sans UI" w:hAnsi="Arial"/>
          <w:color w:val="000000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/>
          <w:color w:val="000000"/>
          <w:lang w:val="de-DE" w:eastAsia="ja-JP" w:bidi="fa-IR"/>
        </w:rPr>
        <w:t>niezasadną</w:t>
      </w:r>
      <w:proofErr w:type="spellEnd"/>
      <w:r>
        <w:rPr>
          <w:rFonts w:ascii="Arial" w:eastAsia="Andale Sans UI" w:hAnsi="Arial"/>
          <w:color w:val="000000"/>
          <w:lang w:val="de-DE" w:eastAsia="ja-JP" w:bidi="fa-IR"/>
        </w:rPr>
        <w:t xml:space="preserve">. </w:t>
      </w:r>
    </w:p>
    <w:p w:rsidR="00B71818" w:rsidRDefault="00BF51D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</w:rPr>
        <w:t xml:space="preserve"> w </w:t>
      </w:r>
      <w:r>
        <w:rPr>
          <w:rFonts w:ascii="Arial" w:eastAsia="Arial" w:hAnsi="Arial"/>
        </w:rPr>
        <w:t>skardze na działania Zarzą</w:t>
      </w:r>
      <w:r>
        <w:rPr>
          <w:rFonts w:ascii="Arial" w:eastAsia="Arial" w:hAnsi="Arial"/>
        </w:rPr>
        <w:t xml:space="preserve">du Województwa Podkarpackiego </w:t>
      </w:r>
      <w:r>
        <w:rPr>
          <w:rFonts w:ascii="Arial" w:eastAsia="Arial" w:hAnsi="Arial"/>
          <w:bCs/>
        </w:rPr>
        <w:t xml:space="preserve">w związku </w:t>
      </w:r>
      <w:r>
        <w:rPr>
          <w:rFonts w:ascii="Arial" w:eastAsia="Arial" w:hAnsi="Arial"/>
          <w:bCs/>
        </w:rPr>
        <w:br/>
      </w:r>
      <w:r>
        <w:rPr>
          <w:rFonts w:ascii="Arial" w:eastAsia="Arial" w:hAnsi="Arial"/>
          <w:bCs/>
        </w:rPr>
        <w:t xml:space="preserve">z </w:t>
      </w:r>
      <w:r>
        <w:rPr>
          <w:rFonts w:ascii="Arial" w:eastAsia="Times New Roman" w:hAnsi="Arial"/>
          <w:bCs/>
          <w:kern w:val="0"/>
          <w:lang w:eastAsia="pl-PL" w:bidi="ar-SA"/>
        </w:rPr>
        <w:t xml:space="preserve">ogłoszonym otwartym konkursem ofert na realizację w roku 2022 zadań publicznych Województwa Podkarpackiego w zakresie przeciwdziałania przemocy </w:t>
      </w:r>
      <w:r>
        <w:rPr>
          <w:rFonts w:ascii="Arial" w:eastAsia="Times New Roman" w:hAnsi="Arial"/>
          <w:bCs/>
          <w:kern w:val="0"/>
          <w:lang w:eastAsia="pl-PL" w:bidi="ar-SA"/>
        </w:rPr>
        <w:br/>
      </w:r>
      <w:r>
        <w:rPr>
          <w:rFonts w:ascii="Arial" w:eastAsia="Times New Roman" w:hAnsi="Arial"/>
          <w:bCs/>
          <w:kern w:val="0"/>
          <w:lang w:eastAsia="pl-PL" w:bidi="ar-SA"/>
        </w:rPr>
        <w:t xml:space="preserve">w rodzinie wynikających z „Wojewódzkiego Programu Przeciwdziałania </w:t>
      </w:r>
      <w:r>
        <w:rPr>
          <w:rFonts w:ascii="Arial" w:eastAsia="Times New Roman" w:hAnsi="Arial"/>
          <w:bCs/>
          <w:kern w:val="0"/>
          <w:lang w:eastAsia="pl-PL" w:bidi="ar-SA"/>
        </w:rPr>
        <w:t xml:space="preserve">Przemocy </w:t>
      </w:r>
      <w:r>
        <w:rPr>
          <w:rFonts w:ascii="Arial" w:eastAsia="Times New Roman" w:hAnsi="Arial"/>
          <w:bCs/>
          <w:kern w:val="0"/>
          <w:lang w:eastAsia="pl-PL" w:bidi="ar-SA"/>
        </w:rPr>
        <w:br/>
      </w:r>
      <w:r>
        <w:rPr>
          <w:rFonts w:ascii="Arial" w:eastAsia="Times New Roman" w:hAnsi="Arial"/>
          <w:bCs/>
          <w:kern w:val="0"/>
          <w:lang w:eastAsia="pl-PL" w:bidi="ar-SA"/>
        </w:rPr>
        <w:t>w Rodzinie na rok 2022” skarżący</w:t>
      </w:r>
      <w:r>
        <w:rPr>
          <w:rFonts w:ascii="Arial" w:eastAsia="Times New Roman" w:hAnsi="Arial"/>
        </w:rPr>
        <w:t xml:space="preserve"> zarzucił, że m.in. </w:t>
      </w:r>
      <w:r>
        <w:rPr>
          <w:rFonts w:ascii="Arial" w:hAnsi="Arial"/>
        </w:rPr>
        <w:t>formularz wniosku/oferty jest sprzeczny ze wzorem określonym w Rozporządzeniu, że istniał wymóg konkursowy osobistego złożenia dokumentów w wersji papierowej do określonej godzin, wskazał, że is</w:t>
      </w:r>
      <w:r>
        <w:rPr>
          <w:rFonts w:ascii="Arial" w:hAnsi="Arial"/>
        </w:rPr>
        <w:t xml:space="preserve">tniała możliwość złożenia oferty bez wkładu własnego. Zarzucił, iż zasady konkursu wbrew prawu narzucają określone lokalizacje do realizacji zadania – żaden </w:t>
      </w:r>
      <w:r>
        <w:rPr>
          <w:rFonts w:ascii="Arial" w:hAnsi="Arial"/>
        </w:rPr>
        <w:br/>
      </w:r>
      <w:r>
        <w:rPr>
          <w:rFonts w:ascii="Arial" w:hAnsi="Arial"/>
        </w:rPr>
        <w:t>z prezentowanych powyżej zarzutów nie miał merytorycznego uzasadnienia</w:t>
      </w:r>
      <w:r>
        <w:t xml:space="preserve"> </w:t>
      </w:r>
      <w:r>
        <w:rPr>
          <w:rFonts w:ascii="Arial" w:hAnsi="Arial"/>
        </w:rPr>
        <w:t xml:space="preserve">i skarga uznana została za </w:t>
      </w:r>
      <w:r>
        <w:rPr>
          <w:rFonts w:ascii="Arial" w:hAnsi="Arial"/>
        </w:rPr>
        <w:t xml:space="preserve">niezasadną. </w:t>
      </w:r>
    </w:p>
    <w:p w:rsidR="00B71818" w:rsidRDefault="00BF51D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/>
        </w:rPr>
        <w:t xml:space="preserve">w skardze na działania Podkarpackiego Zarządu Dróg Wojewódzkich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w Rzeszowie w zakresie organizacji zjazdu z drogi wojewódzkiej nr 855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>w miejscowości Rzeczyca Długa w gminie Radomyśl nad Sanem</w:t>
      </w:r>
      <w:r>
        <w:rPr>
          <w:rFonts w:ascii="Arial" w:hAnsi="Arial"/>
          <w:bCs/>
        </w:rPr>
        <w:t>, skarżąca podniosła, że z uwagi na modernizację d</w:t>
      </w:r>
      <w:r>
        <w:rPr>
          <w:rFonts w:ascii="Arial" w:hAnsi="Arial"/>
          <w:bCs/>
        </w:rPr>
        <w:t xml:space="preserve">rogi wojewódzkiej nieruchomości skarżącej zostały całkowicie pozbawione dostępu do drogi publicznej, wskazując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w skardze iż, oczekuje by do jej nieruchomości zostały wykonane z drogi </w:t>
      </w:r>
      <w:r>
        <w:rPr>
          <w:rFonts w:ascii="Arial" w:hAnsi="Arial"/>
          <w:bCs/>
        </w:rPr>
        <w:lastRenderedPageBreak/>
        <w:t>wojewódzkiej zjazdy. W ramach postępowania wyjaśniającego ustalone zosta</w:t>
      </w:r>
      <w:r>
        <w:rPr>
          <w:rFonts w:ascii="Arial" w:hAnsi="Arial"/>
          <w:bCs/>
        </w:rPr>
        <w:t>ło, że działki skarżącej posiadały i nadal posiadają dostęp do drogi publicznej poprzez drogę wewnętrzną położoną na działkach gminnych. Ustalone zostało, że działki skarżącej nie posiadały nigdy zjazdu bezpośrednio na drogę wojewódzką. Obowiązek przebudow</w:t>
      </w:r>
      <w:r>
        <w:rPr>
          <w:rFonts w:ascii="Arial" w:hAnsi="Arial"/>
          <w:bCs/>
        </w:rPr>
        <w:t>y zjazdów w ramach realizowanej przebudowy/rozbudowy drogi wynika z art. 29 ust. 2 ustawy z dnia 31 marca 1985 r. o drogach publicznych.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>” W przypadku budowy lub przebudowy drogi budowa lub przebudowa zjazdów dotychczas istniejących należy do zarządcy drog</w:t>
      </w:r>
      <w:r>
        <w:rPr>
          <w:rFonts w:ascii="Arial" w:hAnsi="Arial"/>
          <w:bCs/>
        </w:rPr>
        <w:t xml:space="preserve">i”. W pozostałych przypadkach budowa lub przebudowa zjazdu należy do właściciela lub użytkownika nieruchomości przyległych do drogi. </w:t>
      </w:r>
      <w:r>
        <w:rPr>
          <w:rFonts w:ascii="Arial" w:hAnsi="Arial"/>
        </w:rPr>
        <w:t xml:space="preserve">Zarzuty zgłaszane przez skarżącą nie miały merytorycznego uzasadnienia i skarga uznana została za niezasadną.  </w:t>
      </w:r>
    </w:p>
    <w:p w:rsidR="00B71818" w:rsidRDefault="00BF51D5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Arial" w:eastAsia="Arial" w:hAnsi="Arial"/>
        </w:rPr>
        <w:t>w skardze n</w:t>
      </w:r>
      <w:r>
        <w:rPr>
          <w:rFonts w:ascii="Arial" w:eastAsia="Arial" w:hAnsi="Arial"/>
        </w:rPr>
        <w:t xml:space="preserve">a działania Podkarpackiego Zarządu Dróg Wojewódzkich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>w Rzeszowie w związku z opracowanym projektem budowlanym dla rozbudowy drogi wojewódzkiej nr 877 Naklik – Leżajsk – Łańcut – Dylągówka – Szklary na odcinku Dylągówka – Szklary</w:t>
      </w:r>
      <w:r>
        <w:rPr>
          <w:rFonts w:ascii="Arial" w:hAnsi="Arial"/>
        </w:rPr>
        <w:t>, skarżąca podnosiła, że lo</w:t>
      </w:r>
      <w:r>
        <w:rPr>
          <w:rFonts w:ascii="Arial" w:hAnsi="Arial"/>
        </w:rPr>
        <w:t xml:space="preserve">kalizacja zatoki autobusowej </w:t>
      </w:r>
      <w:r>
        <w:rPr>
          <w:rFonts w:ascii="Arial" w:hAnsi="Arial"/>
        </w:rPr>
        <w:br/>
      </w:r>
      <w:r>
        <w:rPr>
          <w:rFonts w:ascii="Arial" w:hAnsi="Arial"/>
        </w:rPr>
        <w:t>w bezpośrednim sąsiedztwie ośrodka zdrowia nie jest zgodna z interesem społecznym, wnioskując by zatoka autobusowa została zlokalizowana w innym miejscu. W przeprowadzonym postępowaniu wyjaśniającym ustalone zostało, że zaproj</w:t>
      </w:r>
      <w:r>
        <w:rPr>
          <w:rFonts w:ascii="Arial" w:hAnsi="Arial"/>
        </w:rPr>
        <w:t xml:space="preserve">ektowanie zatoki autobusowej zważywszy na obowiązujące przepisy </w:t>
      </w:r>
      <w:proofErr w:type="spellStart"/>
      <w:r>
        <w:rPr>
          <w:rFonts w:ascii="Arial" w:hAnsi="Arial"/>
        </w:rPr>
        <w:t>techniczno</w:t>
      </w:r>
      <w:proofErr w:type="spellEnd"/>
      <w:r>
        <w:rPr>
          <w:rFonts w:ascii="Arial" w:hAnsi="Arial"/>
        </w:rPr>
        <w:t xml:space="preserve"> – budowlane w szczególności te dotyczące usytuowania zatok w sposób rozjazdowy jest prawidłowo przyjętym przez projektanta rozwiązaniem. Zarzuty zgłaszane przez skarżącą nie miały m</w:t>
      </w:r>
      <w:r>
        <w:rPr>
          <w:rFonts w:ascii="Arial" w:hAnsi="Arial"/>
        </w:rPr>
        <w:t>erytorycznego uzasadnienia i skarga uznana została za niezasadną.</w:t>
      </w:r>
    </w:p>
    <w:p w:rsidR="00B71818" w:rsidRDefault="00BF51D5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bCs/>
        </w:rPr>
        <w:t xml:space="preserve">w 2 tożsamym co do treści petycjach </w:t>
      </w:r>
      <w:r>
        <w:rPr>
          <w:rFonts w:ascii="Arial" w:eastAsia="Times New Roman" w:hAnsi="Arial"/>
          <w:bCs/>
          <w:kern w:val="0"/>
          <w:lang w:eastAsia="pl-PL" w:bidi="ar-SA"/>
        </w:rPr>
        <w:t>dotyczących naprawy programów ochrony powietrza złożonych przez dwa różne podmioty, podmioty wnoszące petycję wniosły o podjęcie działań niezbędnych do na</w:t>
      </w:r>
      <w:r>
        <w:rPr>
          <w:rFonts w:ascii="Arial" w:eastAsia="Times New Roman" w:hAnsi="Arial"/>
          <w:bCs/>
          <w:kern w:val="0"/>
          <w:lang w:eastAsia="pl-PL" w:bidi="ar-SA"/>
        </w:rPr>
        <w:t xml:space="preserve">prawy uchwał dot. programów ochrony powietrza dla strefy podkarpackiej oraz dla strefy miasto Rzeszów. </w:t>
      </w:r>
      <w:r>
        <w:rPr>
          <w:rFonts w:ascii="Arial" w:eastAsia="Times New Roman" w:hAnsi="Arial"/>
          <w:bCs/>
          <w:kern w:val="0"/>
          <w:lang w:eastAsia="pl-PL" w:bidi="ar-SA"/>
        </w:rPr>
        <w:br/>
      </w:r>
      <w:r>
        <w:rPr>
          <w:rFonts w:ascii="Arial" w:hAnsi="Arial"/>
        </w:rPr>
        <w:t>W przedmiotowych petycjach podniesione zostały dwa podstawowe żądania: żądanie usunięcia ograniczenia eksploatacji kominków i pieców opalanych drewnem z</w:t>
      </w:r>
      <w:r>
        <w:rPr>
          <w:rFonts w:ascii="Arial" w:hAnsi="Arial"/>
        </w:rPr>
        <w:t xml:space="preserve"> treści uchwały Sejmiku. Ten zarzut nie miał merytorycznego uzasadnienia bowiem przyjęta na terenie województwa podkarpackiego uchwała antysmogowa jest neutralna w tym zakresie i nie wprowadziła żadnego ograniczenia. Kolejne żądanie dot. usunięcia ogranicz</w:t>
      </w:r>
      <w:r>
        <w:rPr>
          <w:rFonts w:ascii="Arial" w:hAnsi="Arial"/>
        </w:rPr>
        <w:t xml:space="preserve">enia eksploatacji kominków i pieców opalanych drewnem spełniających wymogi </w:t>
      </w:r>
      <w:proofErr w:type="spellStart"/>
      <w:r>
        <w:rPr>
          <w:rFonts w:ascii="Arial" w:hAnsi="Arial"/>
        </w:rPr>
        <w:t>ekoprojektu</w:t>
      </w:r>
      <w:proofErr w:type="spellEnd"/>
      <w:r>
        <w:rPr>
          <w:rFonts w:ascii="Arial" w:hAnsi="Arial"/>
        </w:rPr>
        <w:t xml:space="preserve"> w dni smogowe zawartego w Planach działań krótkoterminowych. To żądanie nie miało również merytorycznego uzasadnienia </w:t>
      </w:r>
      <w:r>
        <w:rPr>
          <w:rFonts w:ascii="Arial" w:hAnsi="Arial"/>
        </w:rPr>
        <w:lastRenderedPageBreak/>
        <w:t>bowiem ograniczenie obowiązuje wyłącznie gdy występ</w:t>
      </w:r>
      <w:r>
        <w:rPr>
          <w:rFonts w:ascii="Arial" w:hAnsi="Arial"/>
        </w:rPr>
        <w:t xml:space="preserve">ują w terenie stężenia przekraczające poziom informowania lub alarmowy (przypadające kilka razy w roku). Ważną kwestią jest to, zostało wprowadzone ograniczenie w eksploatacji kominków gdy kominek jest dodatkowym źródeł ciepła. Z uwagi na powyższe petycje </w:t>
      </w:r>
      <w:r>
        <w:rPr>
          <w:rFonts w:ascii="Arial" w:hAnsi="Arial"/>
        </w:rPr>
        <w:t xml:space="preserve">zostały uznane za niezasadne. </w:t>
      </w:r>
    </w:p>
    <w:p w:rsidR="00B71818" w:rsidRDefault="00BF51D5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bCs/>
        </w:rPr>
        <w:t xml:space="preserve">w petycji dot. podjęcia przez Sejmik Województwa Podkarpackiego uchwały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w sprawie przyjęcia „Karty Praw Rodziny” podmiot wnoszący petycję zawnioskował o wprowadzenie na terenie Województwa Podkarpackiego Karty Praw Rodziny. </w:t>
      </w:r>
      <w:r>
        <w:rPr>
          <w:rFonts w:ascii="Arial" w:hAnsi="Arial"/>
          <w:bCs/>
        </w:rPr>
        <w:t>Ustalone zostało, że przyjęcie Karty Praw Rodziny byłoby dublowaniem już przyjętych przez Sejmik Województwa Podkarpackiego programów, które stawiają na jakość życia i przyszłość rodziny (tj. wojewódzki program ”samorząd dla rodziny” wojewódzki program wsp</w:t>
      </w:r>
      <w:r>
        <w:rPr>
          <w:rFonts w:ascii="Arial" w:hAnsi="Arial"/>
          <w:bCs/>
        </w:rPr>
        <w:t>arcia rodziny i systemu pieczy zastępczej, wojewódzki program na rzec pomocy społecznej, wojewódzki program na rzecz wyrównywania szans osób niepełnosprawnych, przeciwdziałania przemocy). Wszystkie postulaty zawarte w ww. petycji miały odzwierciedlenie w w</w:t>
      </w:r>
      <w:r>
        <w:rPr>
          <w:rFonts w:ascii="Arial" w:hAnsi="Arial"/>
          <w:bCs/>
        </w:rPr>
        <w:t xml:space="preserve">w. programach wojewódzkich. Ustalone zostało również, że byłby to kolejny dodatkowy dokument, który nie poszerzałby tej działalności gdyż mieści się to w ww. programach. </w:t>
      </w:r>
      <w:r>
        <w:rPr>
          <w:rFonts w:ascii="Arial" w:eastAsia="Times New Roman" w:hAnsi="Arial"/>
          <w:kern w:val="0"/>
          <w:lang w:eastAsia="pl-PL" w:bidi="ar-SA"/>
        </w:rPr>
        <w:t xml:space="preserve">Petycja uznana została tym samym za niezasadną. </w:t>
      </w:r>
    </w:p>
    <w:p w:rsidR="00B71818" w:rsidRDefault="00BF51D5">
      <w:pPr>
        <w:pStyle w:val="Standard"/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Komisja badając szczegółowo ww. spraw</w:t>
      </w:r>
      <w:r>
        <w:rPr>
          <w:rFonts w:ascii="Arial" w:hAnsi="Arial"/>
        </w:rPr>
        <w:t>y, analizowała zarówno odpowiedzi składane przez Marszałka Województwa oraz Zarząd Województwa jak również wyjaśnienia składane przez dyrektorów departamentów merytorycznych oraz dyrektorów wojewódzkich samorządowych jednostek organizacyjnych, którzy brali</w:t>
      </w:r>
      <w:r>
        <w:rPr>
          <w:rFonts w:ascii="Arial" w:hAnsi="Arial"/>
        </w:rPr>
        <w:t xml:space="preserve"> udział w posiedzeniach. Komisja nie znalazła merytorycznych przesłanek by uznać zarówno ww. skargi jak również </w:t>
      </w:r>
      <w:r>
        <w:rPr>
          <w:rFonts w:ascii="Arial" w:hAnsi="Arial"/>
        </w:rPr>
        <w:br/>
      </w:r>
      <w:r>
        <w:rPr>
          <w:rFonts w:ascii="Arial" w:hAnsi="Arial"/>
        </w:rPr>
        <w:t>ww. petycje za zasadne. Komisja Skarg, Wniosków i Petycji w ramach przysługującej jej inicjatywy uchwałodawczej opracowała stosowne projekty uc</w:t>
      </w:r>
      <w:r>
        <w:rPr>
          <w:rFonts w:ascii="Arial" w:hAnsi="Arial"/>
        </w:rPr>
        <w:t>hwał Sejmiku Województwa Podkarpackiego, które później zostały przyjęte przez Sejmik Województwa Podkarpackiego.</w:t>
      </w:r>
    </w:p>
    <w:p w:rsidR="00B71818" w:rsidRDefault="00B71818">
      <w:pPr>
        <w:pStyle w:val="Standard"/>
        <w:spacing w:line="360" w:lineRule="auto"/>
        <w:ind w:left="4963" w:firstLine="709"/>
        <w:rPr>
          <w:rFonts w:ascii="Arial" w:eastAsia="Times New Roman" w:hAnsi="Arial"/>
          <w:lang w:eastAsia="pl-PL"/>
        </w:rPr>
      </w:pPr>
    </w:p>
    <w:p w:rsidR="00B71818" w:rsidRDefault="00B71818">
      <w:pPr>
        <w:pStyle w:val="Standard"/>
        <w:spacing w:line="360" w:lineRule="auto"/>
        <w:rPr>
          <w:rFonts w:ascii="Arial" w:eastAsia="Times New Roman" w:hAnsi="Arial"/>
          <w:lang w:eastAsia="pl-PL"/>
        </w:rPr>
      </w:pPr>
    </w:p>
    <w:p w:rsidR="00B71818" w:rsidRDefault="00BF51D5">
      <w:pPr>
        <w:pStyle w:val="Standard"/>
        <w:spacing w:line="276" w:lineRule="auto"/>
        <w:ind w:left="4963" w:firstLine="709"/>
      </w:pPr>
      <w:r>
        <w:rPr>
          <w:rFonts w:ascii="Arial" w:eastAsia="Times New Roman" w:hAnsi="Arial"/>
          <w:lang w:eastAsia="pl-PL"/>
        </w:rPr>
        <w:t xml:space="preserve">    Przewodnicząca Komisji</w:t>
      </w:r>
    </w:p>
    <w:p w:rsidR="00B71818" w:rsidRDefault="00BF51D5">
      <w:pPr>
        <w:pStyle w:val="Standard"/>
        <w:spacing w:line="276" w:lineRule="auto"/>
        <w:ind w:left="5672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lang w:eastAsia="pl-PL"/>
        </w:rPr>
        <w:t xml:space="preserve">   Skarg, Wniosków i Petycji</w:t>
      </w:r>
    </w:p>
    <w:p w:rsidR="00B71818" w:rsidRDefault="00B71818">
      <w:pPr>
        <w:pStyle w:val="Standard"/>
        <w:spacing w:line="276" w:lineRule="auto"/>
        <w:ind w:left="5672"/>
        <w:rPr>
          <w:rFonts w:ascii="Arial" w:hAnsi="Arial"/>
        </w:rPr>
      </w:pPr>
    </w:p>
    <w:p w:rsidR="00B71818" w:rsidRDefault="00BF51D5">
      <w:pPr>
        <w:pStyle w:val="Standard"/>
        <w:spacing w:line="276" w:lineRule="auto"/>
        <w:ind w:left="4963" w:firstLine="709"/>
      </w:pPr>
      <w:r>
        <w:rPr>
          <w:rFonts w:ascii="Arial" w:eastAsia="Times New Roman" w:hAnsi="Arial"/>
          <w:lang w:eastAsia="pl-PL"/>
        </w:rPr>
        <w:t xml:space="preserve">          Maria Napieracz</w:t>
      </w:r>
    </w:p>
    <w:p w:rsidR="00B71818" w:rsidRDefault="00B71818">
      <w:pPr>
        <w:pStyle w:val="Standard"/>
        <w:spacing w:line="36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B71818" w:rsidRDefault="00B71818">
      <w:pPr>
        <w:pStyle w:val="Standard"/>
        <w:spacing w:line="36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B71818" w:rsidRDefault="00BF51D5">
      <w:pPr>
        <w:pStyle w:val="Standard"/>
        <w:spacing w:line="276" w:lineRule="auto"/>
        <w:jc w:val="both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>Opracowała:</w:t>
      </w:r>
    </w:p>
    <w:p w:rsidR="00B71818" w:rsidRDefault="00B71818">
      <w:pPr>
        <w:pStyle w:val="Standard"/>
        <w:spacing w:line="276" w:lineRule="auto"/>
        <w:jc w:val="both"/>
        <w:rPr>
          <w:rFonts w:ascii="Arial" w:eastAsia="Times New Roman" w:hAnsi="Arial"/>
          <w:sz w:val="16"/>
          <w:szCs w:val="16"/>
          <w:lang w:eastAsia="pl-PL"/>
        </w:rPr>
      </w:pPr>
    </w:p>
    <w:p w:rsidR="00B71818" w:rsidRDefault="00BF51D5">
      <w:pPr>
        <w:pStyle w:val="Standard"/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Joanna Sajdak</w:t>
      </w:r>
    </w:p>
    <w:p w:rsidR="00B71818" w:rsidRDefault="00B71818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sectPr w:rsidR="00B7181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D5" w:rsidRDefault="00BF51D5">
      <w:r>
        <w:separator/>
      </w:r>
    </w:p>
  </w:endnote>
  <w:endnote w:type="continuationSeparator" w:id="0">
    <w:p w:rsidR="00BF51D5" w:rsidRDefault="00B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D5" w:rsidRDefault="00BF51D5">
      <w:r>
        <w:rPr>
          <w:color w:val="000000"/>
        </w:rPr>
        <w:separator/>
      </w:r>
    </w:p>
  </w:footnote>
  <w:footnote w:type="continuationSeparator" w:id="0">
    <w:p w:rsidR="00BF51D5" w:rsidRDefault="00BF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A37"/>
    <w:multiLevelType w:val="multilevel"/>
    <w:tmpl w:val="CA7C9E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A87B9A"/>
    <w:multiLevelType w:val="multilevel"/>
    <w:tmpl w:val="149E36E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E45"/>
    <w:multiLevelType w:val="multilevel"/>
    <w:tmpl w:val="7FF8DA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18F3EAD"/>
    <w:multiLevelType w:val="multilevel"/>
    <w:tmpl w:val="5B32E1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1818"/>
    <w:rsid w:val="007A024A"/>
    <w:rsid w:val="00B71818"/>
    <w:rsid w:val="00B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858F-1516-4D61-AC87-F12D607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Sajdak Joanna</dc:creator>
  <cp:lastModifiedBy>Wiatr Michał</cp:lastModifiedBy>
  <cp:revision>2</cp:revision>
  <dcterms:created xsi:type="dcterms:W3CDTF">2023-03-16T07:37:00Z</dcterms:created>
  <dcterms:modified xsi:type="dcterms:W3CDTF">2023-03-16T07:37:00Z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