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8746D" w14:textId="77777777" w:rsidR="00F1051B" w:rsidRPr="009D03BD" w:rsidRDefault="00F1051B" w:rsidP="00F1051B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9D03BD">
        <w:rPr>
          <w:rFonts w:asciiTheme="minorHAnsi" w:eastAsiaTheme="minorHAnsi" w:hAnsiTheme="minorHAnsi" w:cstheme="minorHAnsi"/>
          <w:b/>
          <w:sz w:val="32"/>
          <w:szCs w:val="32"/>
        </w:rPr>
        <w:t>URZĄD MARSZAŁKOWSKI</w:t>
      </w:r>
    </w:p>
    <w:p w14:paraId="10C744E8" w14:textId="77777777" w:rsidR="00F1051B" w:rsidRPr="009D03BD" w:rsidRDefault="00F1051B" w:rsidP="00F1051B">
      <w:pPr>
        <w:spacing w:after="0" w:line="360" w:lineRule="auto"/>
        <w:jc w:val="center"/>
        <w:rPr>
          <w:rFonts w:asciiTheme="minorHAnsi" w:eastAsiaTheme="minorHAnsi" w:hAnsiTheme="minorHAnsi" w:cstheme="minorHAnsi"/>
          <w:b/>
          <w:sz w:val="32"/>
          <w:szCs w:val="32"/>
        </w:rPr>
      </w:pPr>
      <w:r w:rsidRPr="009D03BD">
        <w:rPr>
          <w:rFonts w:asciiTheme="minorHAnsi" w:eastAsiaTheme="minorHAnsi" w:hAnsiTheme="minorHAnsi" w:cstheme="minorHAnsi"/>
          <w:b/>
          <w:sz w:val="32"/>
          <w:szCs w:val="32"/>
        </w:rPr>
        <w:t>WOJEWÓDZTWA PODKARPACKIEGO</w:t>
      </w:r>
    </w:p>
    <w:p w14:paraId="47AB3174" w14:textId="77777777" w:rsidR="00F1051B" w:rsidRPr="009D03BD" w:rsidRDefault="00F1051B" w:rsidP="00496685">
      <w:pPr>
        <w:spacing w:after="1200" w:line="360" w:lineRule="auto"/>
        <w:jc w:val="center"/>
        <w:rPr>
          <w:rFonts w:asciiTheme="minorHAnsi" w:eastAsiaTheme="minorHAnsi" w:hAnsiTheme="minorHAnsi" w:cstheme="minorHAnsi"/>
          <w:b/>
          <w:szCs w:val="24"/>
        </w:rPr>
      </w:pPr>
      <w:r w:rsidRPr="009D03BD">
        <w:rPr>
          <w:rFonts w:asciiTheme="minorHAnsi" w:eastAsiaTheme="minorHAnsi" w:hAnsiTheme="minorHAnsi" w:cstheme="minorHAnsi"/>
          <w:b/>
          <w:szCs w:val="24"/>
        </w:rPr>
        <w:t>DEPARTAMENT OCHRONY ZDROWIA I POLITYKI SPOŁECZNEJ</w:t>
      </w:r>
    </w:p>
    <w:p w14:paraId="0D94F953" w14:textId="77777777" w:rsidR="00F1051B" w:rsidRPr="009D03BD" w:rsidRDefault="00F1051B" w:rsidP="00496685">
      <w:pPr>
        <w:spacing w:after="1200" w:line="36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9D03BD">
        <w:rPr>
          <w:rFonts w:asciiTheme="minorHAnsi" w:eastAsiaTheme="minorHAnsi" w:hAnsiTheme="minorHAnsi" w:cstheme="minorHAnsi"/>
          <w:noProof/>
          <w:lang w:eastAsia="pl-PL"/>
        </w:rPr>
        <w:drawing>
          <wp:inline distT="0" distB="0" distL="0" distR="0" wp14:anchorId="6B2E1139" wp14:editId="61579AFC">
            <wp:extent cx="1524000" cy="1800225"/>
            <wp:effectExtent l="19050" t="0" r="0" b="0"/>
            <wp:docPr id="9" name="Obraz 9" descr="Znalezione obrazy dla zapytania herb podkarp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herb podkarpac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F0D421" w14:textId="77777777" w:rsidR="00AA3C33" w:rsidRPr="009D03BD" w:rsidRDefault="00AA3C33" w:rsidP="00AA3C3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3BD">
        <w:rPr>
          <w:rFonts w:asciiTheme="minorHAnsi" w:hAnsiTheme="minorHAnsi" w:cstheme="minorHAnsi"/>
          <w:b/>
          <w:bCs/>
          <w:sz w:val="28"/>
          <w:szCs w:val="28"/>
        </w:rPr>
        <w:t xml:space="preserve">Sprawozdanie roczne z wykonania planów finansowych </w:t>
      </w:r>
    </w:p>
    <w:p w14:paraId="7956D30D" w14:textId="77777777" w:rsidR="00AA3C33" w:rsidRPr="009D03BD" w:rsidRDefault="00AA3C33" w:rsidP="00AA3C33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3BD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samodzielnych publicznych zakładów opieki zdrowotnej </w:t>
      </w:r>
    </w:p>
    <w:p w14:paraId="272D91E3" w14:textId="7E09F70F" w:rsidR="00496685" w:rsidRPr="009D03BD" w:rsidRDefault="00AA3C33" w:rsidP="00F533E1">
      <w:pPr>
        <w:spacing w:after="3720"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D03BD">
        <w:rPr>
          <w:rFonts w:asciiTheme="minorHAnsi" w:hAnsiTheme="minorHAnsi" w:cstheme="minorHAnsi"/>
          <w:b/>
          <w:bCs/>
          <w:sz w:val="28"/>
          <w:szCs w:val="28"/>
        </w:rPr>
        <w:t xml:space="preserve">podległych Samorządowi Województwa Podkarpackiego </w:t>
      </w:r>
      <w:r w:rsidR="00F533E1" w:rsidRPr="009D03BD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9D03BD">
        <w:rPr>
          <w:rFonts w:asciiTheme="minorHAnsi" w:hAnsiTheme="minorHAnsi" w:cstheme="minorHAnsi"/>
          <w:b/>
          <w:bCs/>
          <w:sz w:val="28"/>
          <w:szCs w:val="28"/>
        </w:rPr>
        <w:t>za 202</w:t>
      </w:r>
      <w:r w:rsidR="004A4B2F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9D03BD">
        <w:rPr>
          <w:rFonts w:asciiTheme="minorHAnsi" w:hAnsiTheme="minorHAnsi" w:cstheme="minorHAnsi"/>
          <w:b/>
          <w:bCs/>
          <w:sz w:val="28"/>
          <w:szCs w:val="28"/>
        </w:rPr>
        <w:t xml:space="preserve"> rok wraz ze wstępną informacją</w:t>
      </w:r>
      <w:r w:rsidR="00910AB4" w:rsidRPr="009D03B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D03BD">
        <w:rPr>
          <w:rFonts w:asciiTheme="minorHAnsi" w:hAnsiTheme="minorHAnsi" w:cstheme="minorHAnsi"/>
          <w:b/>
          <w:bCs/>
          <w:sz w:val="28"/>
          <w:szCs w:val="28"/>
        </w:rPr>
        <w:t>o</w:t>
      </w:r>
      <w:r w:rsidR="00C276CA" w:rsidRPr="009D03BD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D03BD">
        <w:rPr>
          <w:rFonts w:asciiTheme="minorHAnsi" w:hAnsiTheme="minorHAnsi" w:cstheme="minorHAnsi"/>
          <w:b/>
          <w:bCs/>
          <w:sz w:val="28"/>
          <w:szCs w:val="28"/>
        </w:rPr>
        <w:t xml:space="preserve">sytuacji finansowej </w:t>
      </w:r>
      <w:r w:rsidR="00F533E1" w:rsidRPr="009D03BD">
        <w:rPr>
          <w:rFonts w:asciiTheme="minorHAnsi" w:hAnsiTheme="minorHAnsi" w:cstheme="minorHAnsi"/>
          <w:b/>
          <w:bCs/>
          <w:sz w:val="28"/>
          <w:szCs w:val="28"/>
        </w:rPr>
        <w:br/>
      </w:r>
      <w:r w:rsidRPr="009D03BD">
        <w:rPr>
          <w:rFonts w:asciiTheme="minorHAnsi" w:hAnsiTheme="minorHAnsi" w:cstheme="minorHAnsi"/>
          <w:b/>
          <w:bCs/>
          <w:sz w:val="28"/>
          <w:szCs w:val="28"/>
        </w:rPr>
        <w:t>w tych podmiotach za 202</w:t>
      </w:r>
      <w:r w:rsidR="009D03BD" w:rsidRPr="009D03BD">
        <w:rPr>
          <w:rFonts w:asciiTheme="minorHAnsi" w:hAnsiTheme="minorHAnsi" w:cstheme="minorHAnsi"/>
          <w:b/>
          <w:bCs/>
          <w:sz w:val="28"/>
          <w:szCs w:val="28"/>
        </w:rPr>
        <w:t>3</w:t>
      </w:r>
      <w:r w:rsidRPr="009D03BD">
        <w:rPr>
          <w:rFonts w:asciiTheme="minorHAnsi" w:hAnsiTheme="minorHAnsi" w:cstheme="minorHAnsi"/>
          <w:b/>
          <w:bCs/>
          <w:sz w:val="28"/>
          <w:szCs w:val="28"/>
        </w:rPr>
        <w:t xml:space="preserve"> rok.</w:t>
      </w:r>
    </w:p>
    <w:p w14:paraId="1A4275CD" w14:textId="23C5DE6C" w:rsidR="00C276CA" w:rsidRPr="009D03BD" w:rsidRDefault="00756367" w:rsidP="00C276C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16"/>
          <w:szCs w:val="28"/>
        </w:rPr>
        <w:sectPr w:rsidR="00C276CA" w:rsidRPr="009D03BD" w:rsidSect="003F4DAE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9D03BD">
        <w:rPr>
          <w:rFonts w:asciiTheme="minorHAnsi" w:hAnsiTheme="minorHAnsi" w:cstheme="minorHAnsi"/>
          <w:b/>
          <w:bCs/>
          <w:sz w:val="16"/>
          <w:szCs w:val="28"/>
        </w:rPr>
        <w:t>Kwiecień 202</w:t>
      </w:r>
      <w:r w:rsidR="009D03BD" w:rsidRPr="009D03BD">
        <w:rPr>
          <w:rFonts w:asciiTheme="minorHAnsi" w:hAnsiTheme="minorHAnsi" w:cstheme="minorHAnsi"/>
          <w:b/>
          <w:bCs/>
          <w:sz w:val="16"/>
          <w:szCs w:val="28"/>
        </w:rPr>
        <w:t>4</w:t>
      </w:r>
    </w:p>
    <w:p w14:paraId="26FA6369" w14:textId="77777777" w:rsidR="00B60C1C" w:rsidRDefault="00B60C1C" w:rsidP="00C276C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16"/>
          <w:szCs w:val="28"/>
          <w:highlight w:val="yellow"/>
        </w:rPr>
        <w:sectPr w:rsidR="00B60C1C" w:rsidSect="003F4DA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02AE0621" w14:textId="77777777" w:rsidR="00C276CA" w:rsidRPr="009D03BD" w:rsidRDefault="00C276CA" w:rsidP="00C276CA">
      <w:pPr>
        <w:spacing w:after="0" w:line="360" w:lineRule="auto"/>
        <w:jc w:val="center"/>
        <w:rPr>
          <w:rFonts w:asciiTheme="minorHAnsi" w:hAnsiTheme="minorHAnsi" w:cstheme="minorHAnsi"/>
          <w:b/>
          <w:bCs/>
          <w:sz w:val="16"/>
          <w:szCs w:val="28"/>
          <w:highlight w:val="yellow"/>
        </w:rPr>
      </w:pPr>
    </w:p>
    <w:sdt>
      <w:sdtPr>
        <w:rPr>
          <w:rFonts w:asciiTheme="minorHAnsi" w:hAnsiTheme="minorHAnsi" w:cstheme="minorHAnsi"/>
        </w:rPr>
        <w:id w:val="189422547"/>
        <w:docPartObj>
          <w:docPartGallery w:val="Table of Contents"/>
          <w:docPartUnique/>
        </w:docPartObj>
      </w:sdtPr>
      <w:sdtEndPr>
        <w:rPr>
          <w:b/>
          <w:bCs/>
          <w:color w:val="000000" w:themeColor="text1"/>
        </w:rPr>
      </w:sdtEndPr>
      <w:sdtContent>
        <w:p w14:paraId="692DCC7E" w14:textId="77777777" w:rsidR="006F7B72" w:rsidRPr="00682545" w:rsidRDefault="006F7B72" w:rsidP="00B75400">
          <w:pPr>
            <w:spacing w:after="0" w:line="360" w:lineRule="auto"/>
            <w:jc w:val="center"/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</w:pPr>
          <w:r w:rsidRPr="00682545">
            <w:rPr>
              <w:rFonts w:asciiTheme="minorHAnsi" w:hAnsiTheme="minorHAnsi" w:cstheme="minorHAnsi"/>
              <w:b/>
              <w:color w:val="000000" w:themeColor="text1"/>
              <w:sz w:val="24"/>
              <w:szCs w:val="24"/>
            </w:rPr>
            <w:t>Spis treści</w:t>
          </w:r>
        </w:p>
        <w:p w14:paraId="38EDEC38" w14:textId="38BD11EE" w:rsidR="00682545" w:rsidRPr="00682545" w:rsidRDefault="00A12785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r w:rsidRPr="00682545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fldChar w:fldCharType="begin"/>
          </w:r>
          <w:r w:rsidR="0034211F" w:rsidRPr="00682545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instrText xml:space="preserve"> TOC \h \z \u \t "Nagłówek 2;1" </w:instrText>
          </w:r>
          <w:r w:rsidRPr="00682545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fldChar w:fldCharType="separate"/>
          </w:r>
          <w:hyperlink w:anchor="_Toc163816382" w:history="1"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1.</w:t>
            </w:r>
            <w:r w:rsidR="00682545" w:rsidRPr="00682545">
              <w:rPr>
                <w:rFonts w:asciiTheme="minorHAnsi" w:eastAsiaTheme="minorEastAsia" w:hAnsiTheme="minorHAnsi" w:cstheme="minorHAnsi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Wstęp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_Toc163816382 \h </w:instrTex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A1FC2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8BF278" w14:textId="6213994A" w:rsidR="00682545" w:rsidRPr="00682545" w:rsidRDefault="008F4CB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3816383" w:history="1"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2.</w:t>
            </w:r>
            <w:r w:rsidR="00682545" w:rsidRPr="00682545">
              <w:rPr>
                <w:rFonts w:asciiTheme="minorHAnsi" w:eastAsiaTheme="minorEastAsia" w:hAnsiTheme="minorHAnsi" w:cstheme="minorHAnsi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Informacja o organizacji jednostek ochrony zdrowia nadzorowanych przez Samorząd Województwa Podkarpackiego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_Toc163816383 \h </w:instrTex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A1FC2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4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E19C12" w14:textId="247BF1B8" w:rsidR="00682545" w:rsidRPr="00682545" w:rsidRDefault="008F4CB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3816384" w:history="1"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3.</w:t>
            </w:r>
            <w:r w:rsidR="00682545" w:rsidRPr="00682545">
              <w:rPr>
                <w:rFonts w:asciiTheme="minorHAnsi" w:eastAsiaTheme="minorEastAsia" w:hAnsiTheme="minorHAnsi" w:cstheme="minorHAnsi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Zmiany w systemie ochrony zdrowia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_Toc163816384 \h </w:instrTex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A1FC2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5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2D140A" w14:textId="6DED8250" w:rsidR="00682545" w:rsidRPr="00682545" w:rsidRDefault="008F4CB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3816385" w:history="1"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4.</w:t>
            </w:r>
            <w:r w:rsidR="00682545" w:rsidRPr="00682545">
              <w:rPr>
                <w:rFonts w:asciiTheme="minorHAnsi" w:eastAsiaTheme="minorEastAsia" w:hAnsiTheme="minorHAnsi" w:cstheme="minorHAnsi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Wstępne wyniki finansowe wojewódzkich podmiotów leczniczych za 2023 r.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_Toc163816385 \h </w:instrTex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A1FC2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18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6691A2" w14:textId="4D7ED0D9" w:rsidR="00682545" w:rsidRPr="00682545" w:rsidRDefault="008F4CBA">
          <w:pPr>
            <w:pStyle w:val="Spistreci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HAnsi"/>
              <w:noProof/>
              <w:kern w:val="2"/>
              <w:sz w:val="24"/>
              <w:szCs w:val="24"/>
              <w:lang w:eastAsia="pl-PL"/>
              <w14:ligatures w14:val="standardContextual"/>
            </w:rPr>
          </w:pPr>
          <w:hyperlink w:anchor="_Toc163816386" w:history="1"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5.</w:t>
            </w:r>
            <w:r w:rsidR="00682545" w:rsidRPr="00682545">
              <w:rPr>
                <w:rFonts w:asciiTheme="minorHAnsi" w:eastAsiaTheme="minorEastAsia" w:hAnsiTheme="minorHAnsi" w:cstheme="minorHAnsi"/>
                <w:noProof/>
                <w:kern w:val="2"/>
                <w:sz w:val="24"/>
                <w:szCs w:val="24"/>
                <w:lang w:eastAsia="pl-PL"/>
                <w14:ligatures w14:val="standardContextual"/>
              </w:rPr>
              <w:tab/>
            </w:r>
            <w:r w:rsidR="00682545" w:rsidRPr="00682545">
              <w:rPr>
                <w:rStyle w:val="Hipercze"/>
                <w:rFonts w:asciiTheme="minorHAnsi" w:hAnsiTheme="minorHAnsi" w:cstheme="minorHAnsi"/>
                <w:noProof/>
                <w:sz w:val="24"/>
                <w:szCs w:val="24"/>
              </w:rPr>
              <w:t>Działalność lecznicza wojewódzkich podmiotów leczniczych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ab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begin"/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instrText xml:space="preserve"> PAGEREF _Toc163816386 \h </w:instrTex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separate"/>
            </w:r>
            <w:r w:rsidR="00DA1FC2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t>27</w:t>
            </w:r>
            <w:r w:rsidR="00682545" w:rsidRPr="00682545">
              <w:rPr>
                <w:rFonts w:asciiTheme="minorHAnsi" w:hAnsiTheme="minorHAnsi" w:cstheme="minorHAnsi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34A07" w14:textId="38EDD110" w:rsidR="006F7B72" w:rsidRPr="004878A1" w:rsidRDefault="00A12785" w:rsidP="006F7B72">
          <w:pPr>
            <w:tabs>
              <w:tab w:val="left" w:pos="5031"/>
            </w:tabs>
            <w:rPr>
              <w:rFonts w:asciiTheme="minorHAnsi" w:hAnsiTheme="minorHAnsi" w:cstheme="minorHAnsi"/>
              <w:color w:val="000000" w:themeColor="text1"/>
            </w:rPr>
          </w:pPr>
          <w:r w:rsidRPr="00682545">
            <w:rPr>
              <w:rFonts w:asciiTheme="minorHAnsi" w:hAnsiTheme="minorHAnsi" w:cstheme="minorHAnsi"/>
              <w:b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14:paraId="569BBF04" w14:textId="77777777" w:rsidR="006F7B72" w:rsidRPr="009D03BD" w:rsidRDefault="006F7B72">
      <w:pPr>
        <w:spacing w:after="160" w:line="259" w:lineRule="auto"/>
        <w:rPr>
          <w:rFonts w:asciiTheme="minorHAnsi" w:eastAsiaTheme="minorHAnsi" w:hAnsiTheme="minorHAnsi" w:cstheme="minorHAnsi"/>
          <w:b/>
          <w:sz w:val="24"/>
          <w:szCs w:val="24"/>
          <w:highlight w:val="yellow"/>
        </w:rPr>
      </w:pPr>
      <w:r w:rsidRPr="009D03BD">
        <w:rPr>
          <w:rFonts w:asciiTheme="minorHAnsi" w:eastAsiaTheme="minorHAnsi" w:hAnsiTheme="minorHAnsi" w:cstheme="minorHAnsi"/>
          <w:b/>
          <w:sz w:val="24"/>
          <w:szCs w:val="24"/>
          <w:highlight w:val="yellow"/>
        </w:rPr>
        <w:br w:type="page"/>
      </w:r>
    </w:p>
    <w:p w14:paraId="2FFBD971" w14:textId="77777777" w:rsidR="003830F5" w:rsidRPr="000226CB" w:rsidRDefault="003830F5" w:rsidP="00BB1770">
      <w:pPr>
        <w:pStyle w:val="Nagwek2"/>
        <w:ind w:left="527"/>
        <w:rPr>
          <w:rFonts w:asciiTheme="minorHAnsi" w:hAnsiTheme="minorHAnsi" w:cstheme="minorHAnsi"/>
          <w:sz w:val="24"/>
          <w:szCs w:val="24"/>
        </w:rPr>
      </w:pPr>
      <w:bookmarkStart w:id="1" w:name="_Toc163816382"/>
      <w:r w:rsidRPr="000226CB">
        <w:rPr>
          <w:rFonts w:asciiTheme="minorHAnsi" w:hAnsiTheme="minorHAnsi" w:cstheme="minorHAnsi"/>
          <w:sz w:val="24"/>
          <w:szCs w:val="24"/>
        </w:rPr>
        <w:lastRenderedPageBreak/>
        <w:t>Wstęp</w:t>
      </w:r>
      <w:bookmarkEnd w:id="1"/>
    </w:p>
    <w:p w14:paraId="6BD1877C" w14:textId="16412149" w:rsidR="00241739" w:rsidRPr="000226CB" w:rsidRDefault="00241739" w:rsidP="00241739">
      <w:pPr>
        <w:jc w:val="both"/>
        <w:rPr>
          <w:rFonts w:asciiTheme="minorHAnsi" w:hAnsiTheme="minorHAnsi" w:cstheme="minorHAnsi"/>
          <w:sz w:val="24"/>
          <w:szCs w:val="24"/>
        </w:rPr>
      </w:pPr>
      <w:r w:rsidRPr="000226CB">
        <w:rPr>
          <w:rFonts w:asciiTheme="minorHAnsi" w:hAnsiTheme="minorHAnsi" w:cstheme="minorHAnsi"/>
          <w:sz w:val="24"/>
          <w:szCs w:val="24"/>
        </w:rPr>
        <w:t xml:space="preserve">Informacja o wynikach finansowych i działalności leczniczej Podmiotów leczniczych, </w:t>
      </w:r>
      <w:r w:rsidR="009310F3" w:rsidRPr="000226CB">
        <w:rPr>
          <w:rFonts w:asciiTheme="minorHAnsi" w:hAnsiTheme="minorHAnsi" w:cstheme="minorHAnsi"/>
          <w:sz w:val="24"/>
          <w:szCs w:val="24"/>
        </w:rPr>
        <w:br/>
      </w:r>
      <w:r w:rsidRPr="000226CB">
        <w:rPr>
          <w:rFonts w:asciiTheme="minorHAnsi" w:hAnsiTheme="minorHAnsi" w:cstheme="minorHAnsi"/>
          <w:sz w:val="24"/>
          <w:szCs w:val="24"/>
        </w:rPr>
        <w:t>dla</w:t>
      </w:r>
      <w:r w:rsidR="009310F3" w:rsidRPr="000226CB">
        <w:rPr>
          <w:rFonts w:asciiTheme="minorHAnsi" w:hAnsiTheme="minorHAnsi" w:cstheme="minorHAnsi"/>
          <w:sz w:val="24"/>
          <w:szCs w:val="24"/>
        </w:rPr>
        <w:t xml:space="preserve"> </w:t>
      </w:r>
      <w:r w:rsidRPr="000226CB">
        <w:rPr>
          <w:rFonts w:asciiTheme="minorHAnsi" w:hAnsiTheme="minorHAnsi" w:cstheme="minorHAnsi"/>
          <w:sz w:val="24"/>
          <w:szCs w:val="24"/>
        </w:rPr>
        <w:t>których Samorząd Województwa Podkarpackiego jest organem tworzącym</w:t>
      </w:r>
      <w:r w:rsidR="00AD4A7D" w:rsidRPr="000226CB">
        <w:rPr>
          <w:rFonts w:asciiTheme="minorHAnsi" w:hAnsiTheme="minorHAnsi" w:cstheme="minorHAnsi"/>
          <w:sz w:val="24"/>
          <w:szCs w:val="24"/>
        </w:rPr>
        <w:t>,</w:t>
      </w:r>
      <w:r w:rsidR="00BE4A86" w:rsidRPr="000226CB">
        <w:rPr>
          <w:rFonts w:asciiTheme="minorHAnsi" w:hAnsiTheme="minorHAnsi" w:cstheme="minorHAnsi"/>
          <w:sz w:val="24"/>
          <w:szCs w:val="24"/>
        </w:rPr>
        <w:t xml:space="preserve"> </w:t>
      </w:r>
      <w:r w:rsidRPr="000226CB">
        <w:rPr>
          <w:rFonts w:asciiTheme="minorHAnsi" w:hAnsiTheme="minorHAnsi" w:cstheme="minorHAnsi"/>
          <w:sz w:val="24"/>
          <w:szCs w:val="24"/>
        </w:rPr>
        <w:t xml:space="preserve">została sporządzona w oparciu o dane </w:t>
      </w:r>
      <w:r w:rsidR="00530498" w:rsidRPr="000226CB">
        <w:rPr>
          <w:rFonts w:asciiTheme="minorHAnsi" w:hAnsiTheme="minorHAnsi" w:cstheme="minorHAnsi"/>
          <w:sz w:val="24"/>
          <w:szCs w:val="24"/>
        </w:rPr>
        <w:t>z wykonania planów finansowych</w:t>
      </w:r>
      <w:r w:rsidRPr="000226CB">
        <w:rPr>
          <w:rFonts w:asciiTheme="minorHAnsi" w:hAnsiTheme="minorHAnsi" w:cstheme="minorHAnsi"/>
          <w:sz w:val="24"/>
          <w:szCs w:val="24"/>
        </w:rPr>
        <w:t xml:space="preserve"> </w:t>
      </w:r>
      <w:r w:rsidR="000E7BE6" w:rsidRPr="000226CB">
        <w:rPr>
          <w:rFonts w:asciiTheme="minorHAnsi" w:hAnsiTheme="minorHAnsi" w:cstheme="minorHAnsi"/>
          <w:sz w:val="24"/>
          <w:szCs w:val="24"/>
        </w:rPr>
        <w:t>za 202</w:t>
      </w:r>
      <w:r w:rsidR="000226CB" w:rsidRPr="000226CB">
        <w:rPr>
          <w:rFonts w:asciiTheme="minorHAnsi" w:hAnsiTheme="minorHAnsi" w:cstheme="minorHAnsi"/>
          <w:sz w:val="24"/>
          <w:szCs w:val="24"/>
        </w:rPr>
        <w:t>3</w:t>
      </w:r>
      <w:r w:rsidR="00D87EBE" w:rsidRPr="000226CB">
        <w:rPr>
          <w:rFonts w:asciiTheme="minorHAnsi" w:hAnsiTheme="minorHAnsi" w:cstheme="minorHAnsi"/>
          <w:sz w:val="24"/>
          <w:szCs w:val="24"/>
        </w:rPr>
        <w:t xml:space="preserve"> r. </w:t>
      </w:r>
      <w:r w:rsidR="00530498" w:rsidRPr="000226CB">
        <w:rPr>
          <w:rFonts w:asciiTheme="minorHAnsi" w:hAnsiTheme="minorHAnsi" w:cstheme="minorHAnsi"/>
          <w:sz w:val="24"/>
          <w:szCs w:val="24"/>
        </w:rPr>
        <w:t>przekazane przez podmioty lecznicze w terminie do dnia 28 lutego 202</w:t>
      </w:r>
      <w:r w:rsidR="000226CB" w:rsidRPr="000226CB">
        <w:rPr>
          <w:rFonts w:asciiTheme="minorHAnsi" w:hAnsiTheme="minorHAnsi" w:cstheme="minorHAnsi"/>
          <w:sz w:val="24"/>
          <w:szCs w:val="24"/>
        </w:rPr>
        <w:t>4</w:t>
      </w:r>
      <w:r w:rsidR="00530498" w:rsidRPr="000226CB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0478C2B" w14:textId="77777777" w:rsidR="00ED7868" w:rsidRPr="000226CB" w:rsidRDefault="00ED7868" w:rsidP="00BB1770">
      <w:pPr>
        <w:pStyle w:val="Nagwek2"/>
        <w:ind w:left="527"/>
        <w:rPr>
          <w:rFonts w:asciiTheme="minorHAnsi" w:hAnsiTheme="minorHAnsi" w:cstheme="minorHAnsi"/>
          <w:sz w:val="24"/>
          <w:szCs w:val="24"/>
        </w:rPr>
      </w:pPr>
      <w:bookmarkStart w:id="2" w:name="_Toc163816383"/>
      <w:r w:rsidRPr="000226CB">
        <w:rPr>
          <w:rFonts w:asciiTheme="minorHAnsi" w:hAnsiTheme="minorHAnsi" w:cstheme="minorHAnsi"/>
          <w:sz w:val="24"/>
          <w:szCs w:val="24"/>
        </w:rPr>
        <w:t>Informacja o organizacji jednostek ochrony zdrowia nadzorowanych przez Samorząd Województwa Podkarpackiego</w:t>
      </w:r>
      <w:bookmarkEnd w:id="2"/>
    </w:p>
    <w:p w14:paraId="33D92BA8" w14:textId="5B03C94A" w:rsidR="00AD4BC8" w:rsidRPr="000226CB" w:rsidRDefault="00AD4BC8" w:rsidP="001E0D3B">
      <w:pPr>
        <w:jc w:val="both"/>
        <w:rPr>
          <w:rFonts w:asciiTheme="minorHAnsi" w:hAnsiTheme="minorHAnsi" w:cstheme="minorHAnsi"/>
          <w:sz w:val="24"/>
          <w:szCs w:val="24"/>
        </w:rPr>
      </w:pPr>
      <w:r w:rsidRPr="000226CB">
        <w:rPr>
          <w:rFonts w:asciiTheme="minorHAnsi" w:hAnsiTheme="minorHAnsi" w:cstheme="minorHAnsi"/>
          <w:sz w:val="24"/>
          <w:szCs w:val="24"/>
        </w:rPr>
        <w:t>Samorząd Województw</w:t>
      </w:r>
      <w:r w:rsidR="000E7BE6" w:rsidRPr="000226CB">
        <w:rPr>
          <w:rFonts w:asciiTheme="minorHAnsi" w:hAnsiTheme="minorHAnsi" w:cstheme="minorHAnsi"/>
          <w:sz w:val="24"/>
          <w:szCs w:val="24"/>
        </w:rPr>
        <w:t>a Podkarpackiego w 202</w:t>
      </w:r>
      <w:r w:rsidR="005118C1">
        <w:rPr>
          <w:rFonts w:asciiTheme="minorHAnsi" w:hAnsiTheme="minorHAnsi" w:cstheme="minorHAnsi"/>
          <w:sz w:val="24"/>
          <w:szCs w:val="24"/>
        </w:rPr>
        <w:t>3</w:t>
      </w:r>
      <w:r w:rsidRPr="000226CB">
        <w:rPr>
          <w:rFonts w:asciiTheme="minorHAnsi" w:hAnsiTheme="minorHAnsi" w:cstheme="minorHAnsi"/>
          <w:sz w:val="24"/>
          <w:szCs w:val="24"/>
        </w:rPr>
        <w:t xml:space="preserve"> r. był organem tworzącym i</w:t>
      </w:r>
      <w:r w:rsidR="00466DEF" w:rsidRPr="000226CB">
        <w:rPr>
          <w:rFonts w:asciiTheme="minorHAnsi" w:hAnsiTheme="minorHAnsi" w:cstheme="minorHAnsi"/>
          <w:sz w:val="24"/>
          <w:szCs w:val="24"/>
        </w:rPr>
        <w:t> </w:t>
      </w:r>
      <w:r w:rsidR="00A80E50" w:rsidRPr="000226CB">
        <w:rPr>
          <w:rFonts w:asciiTheme="minorHAnsi" w:hAnsiTheme="minorHAnsi" w:cstheme="minorHAnsi"/>
          <w:sz w:val="24"/>
          <w:szCs w:val="24"/>
        </w:rPr>
        <w:t>nadzorującym dla 1</w:t>
      </w:r>
      <w:r w:rsidR="000226CB" w:rsidRPr="000226CB">
        <w:rPr>
          <w:rFonts w:asciiTheme="minorHAnsi" w:hAnsiTheme="minorHAnsi" w:cstheme="minorHAnsi"/>
          <w:sz w:val="24"/>
          <w:szCs w:val="24"/>
        </w:rPr>
        <w:t>3</w:t>
      </w:r>
      <w:r w:rsidRPr="000226CB">
        <w:rPr>
          <w:rFonts w:asciiTheme="minorHAnsi" w:hAnsiTheme="minorHAnsi" w:cstheme="minorHAnsi"/>
          <w:sz w:val="24"/>
          <w:szCs w:val="24"/>
        </w:rPr>
        <w:t xml:space="preserve"> samodzielnych publicznych podmiotów leczniczych statutowo działających na terenie całego województwa podkarpackiego.</w:t>
      </w:r>
    </w:p>
    <w:p w14:paraId="2D6CA44C" w14:textId="252CB4CC" w:rsidR="00AD4BC8" w:rsidRPr="00E13325" w:rsidRDefault="00AD4BC8" w:rsidP="001E0D3B">
      <w:pPr>
        <w:jc w:val="both"/>
        <w:rPr>
          <w:rFonts w:asciiTheme="minorHAnsi" w:hAnsiTheme="minorHAnsi" w:cstheme="minorHAnsi"/>
          <w:sz w:val="24"/>
          <w:szCs w:val="24"/>
        </w:rPr>
      </w:pPr>
      <w:r w:rsidRPr="00E13325">
        <w:rPr>
          <w:rFonts w:asciiTheme="minorHAnsi" w:hAnsiTheme="minorHAnsi" w:cstheme="minorHAnsi"/>
          <w:sz w:val="24"/>
          <w:szCs w:val="24"/>
        </w:rPr>
        <w:t xml:space="preserve">Samodzielne publiczne podmioty lecznicze posiadają osobowość prawną i działają </w:t>
      </w:r>
      <w:r w:rsidRPr="00E13325">
        <w:rPr>
          <w:rFonts w:asciiTheme="minorHAnsi" w:hAnsiTheme="minorHAnsi" w:cstheme="minorHAnsi"/>
          <w:sz w:val="24"/>
          <w:szCs w:val="24"/>
        </w:rPr>
        <w:br/>
        <w:t xml:space="preserve">na podstawie przepisów prawnych Ustawy z dnia 15 kwietnia </w:t>
      </w:r>
      <w:r w:rsidRPr="00E13325">
        <w:rPr>
          <w:rFonts w:asciiTheme="minorHAnsi" w:hAnsiTheme="minorHAnsi" w:cstheme="minorHAnsi"/>
          <w:sz w:val="24"/>
          <w:szCs w:val="24"/>
        </w:rPr>
        <w:lastRenderedPageBreak/>
        <w:t>2011 r. o działalności leczniczej (Dz. U. z 202</w:t>
      </w:r>
      <w:r w:rsidR="00E13325" w:rsidRPr="00E13325">
        <w:rPr>
          <w:rFonts w:asciiTheme="minorHAnsi" w:hAnsiTheme="minorHAnsi" w:cstheme="minorHAnsi"/>
          <w:sz w:val="24"/>
          <w:szCs w:val="24"/>
        </w:rPr>
        <w:t>3</w:t>
      </w:r>
      <w:r w:rsidRPr="00E13325">
        <w:rPr>
          <w:rFonts w:asciiTheme="minorHAnsi" w:hAnsiTheme="minorHAnsi" w:cstheme="minorHAnsi"/>
          <w:sz w:val="24"/>
          <w:szCs w:val="24"/>
        </w:rPr>
        <w:t xml:space="preserve"> r. poz. </w:t>
      </w:r>
      <w:r w:rsidR="00E13325" w:rsidRPr="00E13325">
        <w:rPr>
          <w:rFonts w:asciiTheme="minorHAnsi" w:hAnsiTheme="minorHAnsi" w:cstheme="minorHAnsi"/>
          <w:sz w:val="24"/>
          <w:szCs w:val="24"/>
        </w:rPr>
        <w:t>991</w:t>
      </w:r>
      <w:r w:rsidRPr="00E13325">
        <w:rPr>
          <w:rFonts w:asciiTheme="minorHAnsi" w:hAnsiTheme="minorHAnsi" w:cstheme="minorHAnsi"/>
          <w:sz w:val="24"/>
          <w:szCs w:val="24"/>
        </w:rPr>
        <w:t xml:space="preserve"> z późn. zm.). Przy wszystkich funkcjonują Rady Społeczne.</w:t>
      </w:r>
    </w:p>
    <w:p w14:paraId="3BE7D066" w14:textId="77777777" w:rsidR="00AD4BC8" w:rsidRPr="00E13325" w:rsidRDefault="00AD4BC8" w:rsidP="00AD4BC8">
      <w:pPr>
        <w:jc w:val="both"/>
        <w:rPr>
          <w:rFonts w:asciiTheme="minorHAnsi" w:hAnsiTheme="minorHAnsi" w:cstheme="minorHAnsi"/>
          <w:sz w:val="24"/>
          <w:szCs w:val="24"/>
        </w:rPr>
      </w:pPr>
      <w:r w:rsidRPr="00E13325">
        <w:rPr>
          <w:rFonts w:asciiTheme="minorHAnsi" w:hAnsiTheme="minorHAnsi" w:cstheme="minorHAnsi"/>
          <w:sz w:val="24"/>
          <w:szCs w:val="24"/>
        </w:rPr>
        <w:t>Podmioty te można podzielić na następujące grupy:</w:t>
      </w:r>
    </w:p>
    <w:p w14:paraId="4732BC42" w14:textId="0549A0E3" w:rsidR="00AD4BC8" w:rsidRPr="00E13325" w:rsidRDefault="00E13325" w:rsidP="00AD4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13325">
        <w:rPr>
          <w:rFonts w:asciiTheme="minorHAnsi" w:hAnsiTheme="minorHAnsi" w:cstheme="minorHAnsi"/>
          <w:sz w:val="24"/>
          <w:szCs w:val="24"/>
        </w:rPr>
        <w:t>cztery</w:t>
      </w:r>
      <w:r w:rsidR="007A18C6" w:rsidRPr="00E13325">
        <w:rPr>
          <w:rFonts w:asciiTheme="minorHAnsi" w:hAnsiTheme="minorHAnsi" w:cstheme="minorHAnsi"/>
          <w:sz w:val="24"/>
          <w:szCs w:val="24"/>
        </w:rPr>
        <w:t xml:space="preserve"> szpital</w:t>
      </w:r>
      <w:r w:rsidRPr="00E13325">
        <w:rPr>
          <w:rFonts w:asciiTheme="minorHAnsi" w:hAnsiTheme="minorHAnsi" w:cstheme="minorHAnsi"/>
          <w:sz w:val="24"/>
          <w:szCs w:val="24"/>
        </w:rPr>
        <w:t>e</w:t>
      </w:r>
      <w:r w:rsidR="007A18C6" w:rsidRPr="00E13325">
        <w:rPr>
          <w:rFonts w:asciiTheme="minorHAnsi" w:hAnsiTheme="minorHAnsi" w:cstheme="minorHAnsi"/>
          <w:sz w:val="24"/>
          <w:szCs w:val="24"/>
        </w:rPr>
        <w:t xml:space="preserve"> wielospecjalistyczn</w:t>
      </w:r>
      <w:r w:rsidRPr="00E13325">
        <w:rPr>
          <w:rFonts w:asciiTheme="minorHAnsi" w:hAnsiTheme="minorHAnsi" w:cstheme="minorHAnsi"/>
          <w:sz w:val="24"/>
          <w:szCs w:val="24"/>
        </w:rPr>
        <w:t>e</w:t>
      </w:r>
      <w:r w:rsidR="007A18C6" w:rsidRPr="00E13325">
        <w:rPr>
          <w:rFonts w:asciiTheme="minorHAnsi" w:hAnsiTheme="minorHAnsi" w:cstheme="minorHAnsi"/>
          <w:sz w:val="24"/>
          <w:szCs w:val="24"/>
        </w:rPr>
        <w:t xml:space="preserve">: </w:t>
      </w:r>
      <w:r w:rsidR="00AD4BC8" w:rsidRPr="00E13325">
        <w:rPr>
          <w:rFonts w:asciiTheme="minorHAnsi" w:hAnsiTheme="minorHAnsi" w:cstheme="minorHAnsi"/>
          <w:sz w:val="24"/>
          <w:szCs w:val="24"/>
        </w:rPr>
        <w:t>Klinic</w:t>
      </w:r>
      <w:r w:rsidR="00D87EBE" w:rsidRPr="00E13325">
        <w:rPr>
          <w:rFonts w:asciiTheme="minorHAnsi" w:hAnsiTheme="minorHAnsi" w:cstheme="minorHAnsi"/>
          <w:sz w:val="24"/>
          <w:szCs w:val="24"/>
        </w:rPr>
        <w:t>zny Szpital Wojewódzki Nr 2 im. </w:t>
      </w:r>
      <w:r w:rsidR="00AD4BC8" w:rsidRPr="00E13325">
        <w:rPr>
          <w:rFonts w:asciiTheme="minorHAnsi" w:hAnsiTheme="minorHAnsi" w:cstheme="minorHAnsi"/>
          <w:sz w:val="24"/>
          <w:szCs w:val="24"/>
        </w:rPr>
        <w:t>Św. Jadwigi Królowej w</w:t>
      </w:r>
      <w:r w:rsidR="00466DEF" w:rsidRPr="00E13325">
        <w:rPr>
          <w:rFonts w:asciiTheme="minorHAnsi" w:hAnsiTheme="minorHAnsi" w:cstheme="minorHAnsi"/>
          <w:sz w:val="24"/>
          <w:szCs w:val="24"/>
        </w:rPr>
        <w:t> </w:t>
      </w:r>
      <w:r w:rsidR="00AD4BC8" w:rsidRPr="00E13325">
        <w:rPr>
          <w:rFonts w:asciiTheme="minorHAnsi" w:hAnsiTheme="minorHAnsi" w:cstheme="minorHAnsi"/>
          <w:sz w:val="24"/>
          <w:szCs w:val="24"/>
        </w:rPr>
        <w:t>Rzeszowie, Wojewódzki Szpital im. Św. Ojca Pio w</w:t>
      </w:r>
      <w:r w:rsidR="00466DEF" w:rsidRPr="00E13325">
        <w:rPr>
          <w:rFonts w:asciiTheme="minorHAnsi" w:hAnsiTheme="minorHAnsi" w:cstheme="minorHAnsi"/>
          <w:sz w:val="24"/>
          <w:szCs w:val="24"/>
        </w:rPr>
        <w:t> </w:t>
      </w:r>
      <w:r w:rsidR="00AD4BC8" w:rsidRPr="00E13325">
        <w:rPr>
          <w:rFonts w:asciiTheme="minorHAnsi" w:hAnsiTheme="minorHAnsi" w:cstheme="minorHAnsi"/>
          <w:sz w:val="24"/>
          <w:szCs w:val="24"/>
        </w:rPr>
        <w:t>Przemyślu, Wojewódzki Szpital Podkarpacki im. Jana Pawła II w Krośnie i</w:t>
      </w:r>
      <w:r w:rsidR="00466DEF" w:rsidRPr="00E13325">
        <w:rPr>
          <w:rFonts w:asciiTheme="minorHAnsi" w:hAnsiTheme="minorHAnsi" w:cstheme="minorHAnsi"/>
          <w:sz w:val="24"/>
          <w:szCs w:val="24"/>
        </w:rPr>
        <w:t> </w:t>
      </w:r>
      <w:r w:rsidR="00AD4BC8" w:rsidRPr="00E13325">
        <w:rPr>
          <w:rFonts w:asciiTheme="minorHAnsi" w:hAnsiTheme="minorHAnsi" w:cstheme="minorHAnsi"/>
          <w:sz w:val="24"/>
          <w:szCs w:val="24"/>
        </w:rPr>
        <w:t>Wojewódzki Szpital im. Zofii z</w:t>
      </w:r>
      <w:r w:rsidRPr="00E13325">
        <w:rPr>
          <w:rFonts w:asciiTheme="minorHAnsi" w:hAnsiTheme="minorHAnsi" w:cstheme="minorHAnsi"/>
          <w:sz w:val="24"/>
          <w:szCs w:val="24"/>
        </w:rPr>
        <w:t> </w:t>
      </w:r>
      <w:r w:rsidR="00AD4BC8" w:rsidRPr="00E13325">
        <w:rPr>
          <w:rFonts w:asciiTheme="minorHAnsi" w:hAnsiTheme="minorHAnsi" w:cstheme="minorHAnsi"/>
          <w:sz w:val="24"/>
          <w:szCs w:val="24"/>
        </w:rPr>
        <w:t>Zamoyskich Tarnowskiej w Tarnobrzegu,</w:t>
      </w:r>
    </w:p>
    <w:p w14:paraId="006D1CB4" w14:textId="77777777" w:rsidR="00AD4BC8" w:rsidRPr="00E13325" w:rsidRDefault="00AD4BC8" w:rsidP="00AD4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13325">
        <w:rPr>
          <w:rFonts w:asciiTheme="minorHAnsi" w:hAnsiTheme="minorHAnsi" w:cstheme="minorHAnsi"/>
          <w:sz w:val="24"/>
          <w:szCs w:val="24"/>
        </w:rPr>
        <w:t>dwa szpitale specjalistyczne – psychiatryczne: Specjalistyczny Psychiatryczny Zespół Opieki Zdrowotnej im. prof. Antoniego Kępińskiego w Jarosławiu i</w:t>
      </w:r>
      <w:r w:rsidR="00466DEF" w:rsidRPr="00E13325">
        <w:rPr>
          <w:rFonts w:asciiTheme="minorHAnsi" w:hAnsiTheme="minorHAnsi" w:cstheme="minorHAnsi"/>
          <w:sz w:val="24"/>
          <w:szCs w:val="24"/>
        </w:rPr>
        <w:t> </w:t>
      </w:r>
      <w:r w:rsidRPr="00E13325">
        <w:rPr>
          <w:rFonts w:asciiTheme="minorHAnsi" w:hAnsiTheme="minorHAnsi" w:cstheme="minorHAnsi"/>
          <w:sz w:val="24"/>
          <w:szCs w:val="24"/>
        </w:rPr>
        <w:t>Wojewódzki Podkarpacki Szpital Psychiatryczny im. prof. Eugeniusza Brzezickiego w Żurawicy,</w:t>
      </w:r>
    </w:p>
    <w:p w14:paraId="74F2C801" w14:textId="2A6D7BE8" w:rsidR="003830F5" w:rsidRPr="00E13325" w:rsidRDefault="00AD4BC8" w:rsidP="00AA3A0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13325">
        <w:rPr>
          <w:rFonts w:asciiTheme="minorHAnsi" w:hAnsiTheme="minorHAnsi" w:cstheme="minorHAnsi"/>
          <w:sz w:val="24"/>
          <w:szCs w:val="24"/>
        </w:rPr>
        <w:t>dwa zakłady zajmujące się leczeniem uzależnień: Wojewódzki Ośrodek Terapii Uzależnień w Rzeszowie i Wojewódzki Ośrodek Terapii Uzależnienia od</w:t>
      </w:r>
      <w:r w:rsidR="00466DEF" w:rsidRPr="00E13325">
        <w:rPr>
          <w:rFonts w:asciiTheme="minorHAnsi" w:hAnsiTheme="minorHAnsi" w:cstheme="minorHAnsi"/>
          <w:sz w:val="24"/>
          <w:szCs w:val="24"/>
        </w:rPr>
        <w:t> </w:t>
      </w:r>
      <w:r w:rsidRPr="00E13325">
        <w:rPr>
          <w:rFonts w:asciiTheme="minorHAnsi" w:hAnsiTheme="minorHAnsi" w:cstheme="minorHAnsi"/>
          <w:sz w:val="24"/>
          <w:szCs w:val="24"/>
        </w:rPr>
        <w:t>Alkoholu i</w:t>
      </w:r>
      <w:r w:rsidR="00727342" w:rsidRPr="00E13325">
        <w:rPr>
          <w:rFonts w:asciiTheme="minorHAnsi" w:hAnsiTheme="minorHAnsi" w:cstheme="minorHAnsi"/>
          <w:sz w:val="24"/>
          <w:szCs w:val="24"/>
        </w:rPr>
        <w:t> </w:t>
      </w:r>
      <w:r w:rsidRPr="00E13325">
        <w:rPr>
          <w:rFonts w:asciiTheme="minorHAnsi" w:hAnsiTheme="minorHAnsi" w:cstheme="minorHAnsi"/>
          <w:sz w:val="24"/>
          <w:szCs w:val="24"/>
        </w:rPr>
        <w:t xml:space="preserve">Współuzależnienia w Stalowej Woli, </w:t>
      </w:r>
    </w:p>
    <w:p w14:paraId="20EFCB6C" w14:textId="77777777" w:rsidR="00AD4BC8" w:rsidRPr="00E13325" w:rsidRDefault="00AD4BC8" w:rsidP="00AA3A0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13325">
        <w:rPr>
          <w:rFonts w:asciiTheme="minorHAnsi" w:hAnsiTheme="minorHAnsi" w:cstheme="minorHAnsi"/>
          <w:sz w:val="24"/>
          <w:szCs w:val="24"/>
        </w:rPr>
        <w:t>dwie przychodnie: Wojewódzki Zespół Specjalistyczny w Rzeszowie, Podkarpackie Centrum Medyczne w Rzeszowie SPZOZ,</w:t>
      </w:r>
    </w:p>
    <w:p w14:paraId="2A5BB365" w14:textId="3ECA5D7A" w:rsidR="00AD4BC8" w:rsidRPr="00E13325" w:rsidRDefault="00AD4BC8" w:rsidP="00AD4BC8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E13325">
        <w:rPr>
          <w:rFonts w:asciiTheme="minorHAnsi" w:hAnsiTheme="minorHAnsi" w:cstheme="minorHAnsi"/>
          <w:sz w:val="24"/>
          <w:szCs w:val="24"/>
        </w:rPr>
        <w:lastRenderedPageBreak/>
        <w:t>dwie stacje pogotowia ratunkowego: Wojewódzka Stacja Pogotowia Ratunkowego w</w:t>
      </w:r>
      <w:r w:rsidR="00727342" w:rsidRPr="00E13325">
        <w:rPr>
          <w:rFonts w:asciiTheme="minorHAnsi" w:hAnsiTheme="minorHAnsi" w:cstheme="minorHAnsi"/>
          <w:sz w:val="24"/>
          <w:szCs w:val="24"/>
        </w:rPr>
        <w:t> </w:t>
      </w:r>
      <w:r w:rsidRPr="00E13325">
        <w:rPr>
          <w:rFonts w:asciiTheme="minorHAnsi" w:hAnsiTheme="minorHAnsi" w:cstheme="minorHAnsi"/>
          <w:sz w:val="24"/>
          <w:szCs w:val="24"/>
        </w:rPr>
        <w:t>Rzeszowie i Wojewódzka Stacja Pogotowia Ratunkowego w</w:t>
      </w:r>
      <w:r w:rsidR="00466DEF" w:rsidRPr="00E13325">
        <w:rPr>
          <w:rFonts w:asciiTheme="minorHAnsi" w:hAnsiTheme="minorHAnsi" w:cstheme="minorHAnsi"/>
          <w:sz w:val="24"/>
          <w:szCs w:val="24"/>
        </w:rPr>
        <w:t> </w:t>
      </w:r>
      <w:r w:rsidRPr="00E13325">
        <w:rPr>
          <w:rFonts w:asciiTheme="minorHAnsi" w:hAnsiTheme="minorHAnsi" w:cstheme="minorHAnsi"/>
          <w:sz w:val="24"/>
          <w:szCs w:val="24"/>
        </w:rPr>
        <w:t>Przemyślu,</w:t>
      </w:r>
    </w:p>
    <w:p w14:paraId="6A716A8F" w14:textId="77777777" w:rsidR="00607265" w:rsidRPr="00E13325" w:rsidRDefault="00AD4BC8" w:rsidP="0082337E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  <w:sectPr w:rsidR="00607265" w:rsidRPr="00E13325" w:rsidSect="003F4DAE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E13325">
        <w:rPr>
          <w:rFonts w:asciiTheme="minorHAnsi" w:hAnsiTheme="minorHAnsi" w:cstheme="minorHAnsi"/>
          <w:sz w:val="24"/>
          <w:szCs w:val="24"/>
        </w:rPr>
        <w:t>jeden ośrodek medycyny pracy: Wojewódzki Ośrodek Medycyny Pracy w</w:t>
      </w:r>
      <w:r w:rsidR="00466DEF" w:rsidRPr="00E13325">
        <w:rPr>
          <w:rFonts w:asciiTheme="minorHAnsi" w:hAnsiTheme="minorHAnsi" w:cstheme="minorHAnsi"/>
          <w:sz w:val="24"/>
          <w:szCs w:val="24"/>
        </w:rPr>
        <w:t> </w:t>
      </w:r>
      <w:r w:rsidRPr="00E13325">
        <w:rPr>
          <w:rFonts w:asciiTheme="minorHAnsi" w:hAnsiTheme="minorHAnsi" w:cstheme="minorHAnsi"/>
          <w:sz w:val="24"/>
          <w:szCs w:val="24"/>
        </w:rPr>
        <w:t>Rzeszowie.</w:t>
      </w:r>
    </w:p>
    <w:p w14:paraId="6AD2791C" w14:textId="385A554B" w:rsidR="005C5FBD" w:rsidRPr="005C5FBD" w:rsidRDefault="00A85B91" w:rsidP="003D778E">
      <w:pPr>
        <w:pStyle w:val="Nagwek2"/>
        <w:spacing w:before="0" w:after="120"/>
        <w:ind w:left="527"/>
        <w:rPr>
          <w:rFonts w:asciiTheme="minorHAnsi" w:hAnsiTheme="minorHAnsi" w:cstheme="minorHAnsi"/>
          <w:sz w:val="24"/>
          <w:szCs w:val="24"/>
        </w:rPr>
      </w:pPr>
      <w:bookmarkStart w:id="3" w:name="_Toc163816384"/>
      <w:r w:rsidRPr="00736A0E">
        <w:rPr>
          <w:rFonts w:asciiTheme="minorHAnsi" w:hAnsiTheme="minorHAnsi" w:cstheme="minorHAnsi"/>
          <w:sz w:val="24"/>
          <w:szCs w:val="24"/>
        </w:rPr>
        <w:lastRenderedPageBreak/>
        <w:t xml:space="preserve">Zmiany w </w:t>
      </w:r>
      <w:r w:rsidR="0073580C" w:rsidRPr="00736A0E">
        <w:rPr>
          <w:rFonts w:asciiTheme="minorHAnsi" w:hAnsiTheme="minorHAnsi" w:cstheme="minorHAnsi"/>
          <w:sz w:val="24"/>
          <w:szCs w:val="24"/>
        </w:rPr>
        <w:t>system</w:t>
      </w:r>
      <w:r w:rsidRPr="00736A0E">
        <w:rPr>
          <w:rFonts w:asciiTheme="minorHAnsi" w:hAnsiTheme="minorHAnsi" w:cstheme="minorHAnsi"/>
          <w:sz w:val="24"/>
          <w:szCs w:val="24"/>
        </w:rPr>
        <w:t>ie</w:t>
      </w:r>
      <w:r w:rsidR="0073580C" w:rsidRPr="00736A0E">
        <w:rPr>
          <w:rFonts w:asciiTheme="minorHAnsi" w:hAnsiTheme="minorHAnsi" w:cstheme="minorHAnsi"/>
          <w:sz w:val="24"/>
          <w:szCs w:val="24"/>
        </w:rPr>
        <w:t xml:space="preserve"> ochrony zdrowia</w:t>
      </w:r>
      <w:bookmarkEnd w:id="3"/>
    </w:p>
    <w:p w14:paraId="3B3623E6" w14:textId="3123D9C1" w:rsidR="003446EB" w:rsidRPr="00736A0E" w:rsidRDefault="003446EB" w:rsidP="00736A0E">
      <w:pPr>
        <w:pStyle w:val="Nagwek3"/>
        <w:spacing w:after="120"/>
        <w:ind w:left="0"/>
        <w:rPr>
          <w:rFonts w:asciiTheme="minorHAnsi" w:hAnsiTheme="minorHAnsi" w:cstheme="minorHAnsi"/>
          <w:szCs w:val="24"/>
        </w:rPr>
      </w:pPr>
      <w:r w:rsidRPr="00736A0E">
        <w:rPr>
          <w:rFonts w:asciiTheme="minorHAnsi" w:hAnsiTheme="minorHAnsi" w:cstheme="minorHAnsi"/>
          <w:szCs w:val="24"/>
        </w:rPr>
        <w:t>Zmiany w finansowaniu świadczeń</w:t>
      </w:r>
    </w:p>
    <w:p w14:paraId="109CDEC6" w14:textId="7D39C510" w:rsidR="00736A0E" w:rsidRPr="00736A0E" w:rsidRDefault="00F9095B" w:rsidP="00736A0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736A0E" w:rsidRPr="00736A0E">
        <w:rPr>
          <w:rFonts w:asciiTheme="minorHAnsi" w:hAnsiTheme="minorHAnsi" w:cstheme="minorHAnsi"/>
        </w:rPr>
        <w:t xml:space="preserve">onsultowany jest projekt rozporządzenia Ministra Zdrowia w sprawie zapłaty szpitalom za tzw. nadwykonania w ryczałcie ponad wartość umowy za 2023 rok – projekt zakłada wypłacanie szpitalom dodatku w wysokości 50 proc. wypracowanych nadwykonań za poprzedni okres rozliczeniowy, jednak z jednoczesnym uwzględnieniem kwot dodatków już wypłaconych w 2023 r. oraz gwarantuje szpitalom, których poziom realizacji świadczeń w  2023 r. był niższy niż zakładany przy ustaleniu ryczałtu na ten rok, wypłatę dodatkowych środków zapewniających utrzymanie dotychczasowej wysokości ryczałtu PSZ, z </w:t>
      </w:r>
      <w:r w:rsidR="00736A0E">
        <w:rPr>
          <w:rFonts w:asciiTheme="minorHAnsi" w:hAnsiTheme="minorHAnsi" w:cstheme="minorHAnsi"/>
        </w:rPr>
        <w:t> </w:t>
      </w:r>
      <w:r w:rsidR="00736A0E" w:rsidRPr="00736A0E">
        <w:rPr>
          <w:rFonts w:asciiTheme="minorHAnsi" w:hAnsiTheme="minorHAnsi" w:cstheme="minorHAnsi"/>
        </w:rPr>
        <w:t>obowiązkiem odpracowania tych kwot, a w przypadku nieosiągnięcia odpowiednich nadwykonań ryczałtu w  2024  r., zwrot nierozliczonych w ten sposób kwot</w:t>
      </w:r>
      <w:r w:rsidR="00736A0E" w:rsidRPr="00736A0E">
        <w:rPr>
          <w:rStyle w:val="Odwoanieprzypisudolnego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>.</w:t>
      </w:r>
    </w:p>
    <w:p w14:paraId="54AB725E" w14:textId="50BA0D27" w:rsidR="00643509" w:rsidRPr="00736A0E" w:rsidRDefault="00F9095B" w:rsidP="00736A0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</w:t>
      </w:r>
      <w:r w:rsidR="00643509" w:rsidRPr="00736A0E">
        <w:rPr>
          <w:rFonts w:asciiTheme="minorHAnsi" w:hAnsiTheme="minorHAnsi" w:cstheme="minorHAnsi"/>
        </w:rPr>
        <w:t>niesi</w:t>
      </w:r>
      <w:r w:rsidR="00F646AE">
        <w:rPr>
          <w:rFonts w:asciiTheme="minorHAnsi" w:hAnsiTheme="minorHAnsi" w:cstheme="minorHAnsi"/>
        </w:rPr>
        <w:t>o</w:t>
      </w:r>
      <w:r w:rsidR="00643509" w:rsidRPr="00736A0E">
        <w:rPr>
          <w:rFonts w:asciiTheme="minorHAnsi" w:hAnsiTheme="minorHAnsi" w:cstheme="minorHAnsi"/>
        </w:rPr>
        <w:t>n</w:t>
      </w:r>
      <w:r w:rsidR="00F646AE">
        <w:rPr>
          <w:rFonts w:asciiTheme="minorHAnsi" w:hAnsiTheme="minorHAnsi" w:cstheme="minorHAnsi"/>
        </w:rPr>
        <w:t>o</w:t>
      </w:r>
      <w:r w:rsidR="00643509" w:rsidRPr="00736A0E">
        <w:rPr>
          <w:rFonts w:asciiTheme="minorHAnsi" w:hAnsiTheme="minorHAnsi" w:cstheme="minorHAnsi"/>
        </w:rPr>
        <w:t xml:space="preserve"> od 1 kwietnia 2024 r. limit</w:t>
      </w:r>
      <w:r w:rsidR="0095084D">
        <w:rPr>
          <w:rFonts w:asciiTheme="minorHAnsi" w:hAnsiTheme="minorHAnsi" w:cstheme="minorHAnsi"/>
        </w:rPr>
        <w:t>y</w:t>
      </w:r>
      <w:r w:rsidR="00643509" w:rsidRPr="00736A0E">
        <w:rPr>
          <w:rFonts w:asciiTheme="minorHAnsi" w:hAnsiTheme="minorHAnsi" w:cstheme="minorHAnsi"/>
        </w:rPr>
        <w:t xml:space="preserve"> finansowania w leczeniu pacjentów w hospicjach stacjonarnych, oddziałach medycyny paliatywnej, hospicjach domowych i poradniach medycyny paliatywnej</w:t>
      </w:r>
      <w:r w:rsidR="00643509" w:rsidRPr="00736A0E">
        <w:rPr>
          <w:rStyle w:val="Odwoanieprzypisudolnego"/>
          <w:rFonts w:asciiTheme="minorHAnsi" w:hAnsiTheme="minorHAnsi" w:cstheme="minorHAnsi"/>
        </w:rPr>
        <w:footnoteReference w:id="2"/>
      </w:r>
      <w:r>
        <w:rPr>
          <w:rFonts w:asciiTheme="minorHAnsi" w:hAnsiTheme="minorHAnsi" w:cstheme="minorHAnsi"/>
        </w:rPr>
        <w:t>.</w:t>
      </w:r>
    </w:p>
    <w:p w14:paraId="0BCA7384" w14:textId="1AC5FBEE" w:rsidR="00643509" w:rsidRPr="00736A0E" w:rsidRDefault="00F646AE" w:rsidP="00736A0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643509" w:rsidRPr="00736A0E">
        <w:rPr>
          <w:rFonts w:asciiTheme="minorHAnsi" w:hAnsiTheme="minorHAnsi" w:cstheme="minorHAnsi"/>
        </w:rPr>
        <w:t>rwają prace nad projektem nowej taryfy świadczeń gwarantowanych w opiece paliatywnej i hospicyjnej oraz aktualizacją koszyka świadczeń gwarantowanych - ten pakiet działań ma wpłynąć na wyższą jakość i dostępność do świadczeń</w:t>
      </w:r>
      <w:r w:rsidR="00F9095B">
        <w:rPr>
          <w:rFonts w:asciiTheme="minorHAnsi" w:hAnsiTheme="minorHAnsi" w:cstheme="minorHAnsi"/>
        </w:rPr>
        <w:t>.</w:t>
      </w:r>
    </w:p>
    <w:p w14:paraId="7BFD95B7" w14:textId="1FC4742E" w:rsidR="003F15AA" w:rsidRDefault="00F646AE" w:rsidP="00736A0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</w:t>
      </w:r>
      <w:r w:rsidR="003F15AA" w:rsidRPr="00736A0E">
        <w:rPr>
          <w:rFonts w:asciiTheme="minorHAnsi" w:hAnsiTheme="minorHAnsi" w:cstheme="minorHAnsi"/>
        </w:rPr>
        <w:t xml:space="preserve">onsultowany jest </w:t>
      </w:r>
      <w:r w:rsidR="008A4A0F" w:rsidRPr="00736A0E">
        <w:rPr>
          <w:rFonts w:asciiTheme="minorHAnsi" w:hAnsiTheme="minorHAnsi" w:cstheme="minorHAnsi"/>
        </w:rPr>
        <w:t xml:space="preserve">projekt rozporządzenia </w:t>
      </w:r>
      <w:r w:rsidR="003F15AA" w:rsidRPr="00736A0E">
        <w:rPr>
          <w:rFonts w:asciiTheme="minorHAnsi" w:hAnsiTheme="minorHAnsi" w:cstheme="minorHAnsi"/>
        </w:rPr>
        <w:t xml:space="preserve">Ministra Zdrowia </w:t>
      </w:r>
      <w:r w:rsidR="008A4A0F" w:rsidRPr="00736A0E">
        <w:rPr>
          <w:rFonts w:asciiTheme="minorHAnsi" w:hAnsiTheme="minorHAnsi" w:cstheme="minorHAnsi"/>
        </w:rPr>
        <w:t>(nowelizacj</w:t>
      </w:r>
      <w:r w:rsidR="003F15AA" w:rsidRPr="00736A0E">
        <w:rPr>
          <w:rFonts w:asciiTheme="minorHAnsi" w:hAnsiTheme="minorHAnsi" w:cstheme="minorHAnsi"/>
        </w:rPr>
        <w:t>a</w:t>
      </w:r>
      <w:r w:rsidR="008A4A0F" w:rsidRPr="00736A0E">
        <w:rPr>
          <w:rFonts w:asciiTheme="minorHAnsi" w:hAnsiTheme="minorHAnsi" w:cstheme="minorHAnsi"/>
        </w:rPr>
        <w:t xml:space="preserve"> rozporządzenia w sprawie ogólnych warunków umów o udzielanie świadczeń opieki zdrowotnej), </w:t>
      </w:r>
      <w:r w:rsidR="003F15AA" w:rsidRPr="00736A0E">
        <w:rPr>
          <w:rFonts w:asciiTheme="minorHAnsi" w:hAnsiTheme="minorHAnsi" w:cstheme="minorHAnsi"/>
        </w:rPr>
        <w:t xml:space="preserve">zgodnie z którym świadczeniodawca realizujący umowę z Narodowym Funduszem Zdrowia o </w:t>
      </w:r>
      <w:r w:rsidR="00736A0E">
        <w:rPr>
          <w:rFonts w:asciiTheme="minorHAnsi" w:hAnsiTheme="minorHAnsi" w:cstheme="minorHAnsi"/>
        </w:rPr>
        <w:t> </w:t>
      </w:r>
      <w:r w:rsidR="003F15AA" w:rsidRPr="00736A0E">
        <w:rPr>
          <w:rFonts w:asciiTheme="minorHAnsi" w:hAnsiTheme="minorHAnsi" w:cstheme="minorHAnsi"/>
        </w:rPr>
        <w:t xml:space="preserve">udzielanie świadczeń opieki zdrowotnej w rodzaju leczenie szpitalne w zakresie położnictwo i ginekologia, w przypadkach, gdy zakończenie ciąży jest dopuszczalne </w:t>
      </w:r>
      <w:r w:rsidR="003F15AA" w:rsidRPr="00736A0E">
        <w:rPr>
          <w:rFonts w:asciiTheme="minorHAnsi" w:hAnsiTheme="minorHAnsi" w:cstheme="minorHAnsi"/>
        </w:rPr>
        <w:lastRenderedPageBreak/>
        <w:t xml:space="preserve">przepisami prawa powszechnie obowiązującego, jest zobowiązany do wykonywania świadczeń zakończenia ciąży, o których mowa w części I załącznika nr 1 do rozporządzenia Ministra Zdrowia z dnia 22 listopada 2013 r. w sprawie świadczeń gwarantowanych z </w:t>
      </w:r>
      <w:r w:rsidR="00736A0E">
        <w:rPr>
          <w:rFonts w:asciiTheme="minorHAnsi" w:hAnsiTheme="minorHAnsi" w:cstheme="minorHAnsi"/>
        </w:rPr>
        <w:t> </w:t>
      </w:r>
      <w:r w:rsidR="003F15AA" w:rsidRPr="00736A0E">
        <w:rPr>
          <w:rFonts w:asciiTheme="minorHAnsi" w:hAnsiTheme="minorHAnsi" w:cstheme="minorHAnsi"/>
        </w:rPr>
        <w:t xml:space="preserve">zakresu leczenia szpitalnego (Dz. U. z 2023 r. poz. 870, z późn. zm,), w miejscu udzielania świadczeń, niezależnie od powstrzymania się przez lekarza wykonującego zawód u tego świadczeniodawcy od wykonania świadczenia, z powołaniem się na klauzulę sumienia, projekt zakłada także karę do 2 proc. wartości kontraktu na świadczenia z ginekologii i </w:t>
      </w:r>
      <w:r w:rsidR="00736A0E">
        <w:rPr>
          <w:rFonts w:asciiTheme="minorHAnsi" w:hAnsiTheme="minorHAnsi" w:cstheme="minorHAnsi"/>
        </w:rPr>
        <w:t> </w:t>
      </w:r>
      <w:r w:rsidR="003F15AA" w:rsidRPr="00736A0E">
        <w:rPr>
          <w:rFonts w:asciiTheme="minorHAnsi" w:hAnsiTheme="minorHAnsi" w:cstheme="minorHAnsi"/>
        </w:rPr>
        <w:t>położnictwa w przypadku ww. obowiązku, zaś w przypadku ciężkiego naruszenia przepisów możliwe będzie zerwanie przez Fundusz umowy na te usługi</w:t>
      </w:r>
      <w:r w:rsidR="003F15AA" w:rsidRPr="00736A0E">
        <w:rPr>
          <w:rStyle w:val="Odwoanieprzypisudolnego"/>
          <w:rFonts w:asciiTheme="minorHAnsi" w:hAnsiTheme="minorHAnsi" w:cstheme="minorHAnsi"/>
        </w:rPr>
        <w:footnoteReference w:id="3"/>
      </w:r>
      <w:r w:rsidR="00F9095B">
        <w:rPr>
          <w:rFonts w:asciiTheme="minorHAnsi" w:hAnsiTheme="minorHAnsi" w:cstheme="minorHAnsi"/>
        </w:rPr>
        <w:t>.</w:t>
      </w:r>
    </w:p>
    <w:p w14:paraId="1ED12182" w14:textId="24F301F0" w:rsidR="005C5FBD" w:rsidRDefault="00F646AE" w:rsidP="00736A0E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5C5FBD">
        <w:rPr>
          <w:rFonts w:asciiTheme="minorHAnsi" w:hAnsiTheme="minorHAnsi" w:cstheme="minorHAnsi"/>
        </w:rPr>
        <w:t>rwają prace</w:t>
      </w:r>
      <w:r w:rsidR="00526125">
        <w:rPr>
          <w:rFonts w:asciiTheme="minorHAnsi" w:hAnsiTheme="minorHAnsi" w:cstheme="minorHAnsi"/>
        </w:rPr>
        <w:t xml:space="preserve"> nad określeniem zasad premiowania szpitali, w których co najmniej 10 proc. rodzących siłami natury skorzysta ze znieczulenia zewnątrzoponowego</w:t>
      </w:r>
      <w:r w:rsidR="005C5FBD">
        <w:rPr>
          <w:rFonts w:asciiTheme="minorHAnsi" w:hAnsiTheme="minorHAnsi" w:cstheme="minorHAnsi"/>
        </w:rPr>
        <w:t xml:space="preserve"> </w:t>
      </w:r>
      <w:r w:rsidR="00526125">
        <w:rPr>
          <w:rFonts w:asciiTheme="minorHAnsi" w:hAnsiTheme="minorHAnsi" w:cstheme="minorHAnsi"/>
        </w:rPr>
        <w:t xml:space="preserve">– wycena porodu będzie </w:t>
      </w:r>
      <w:r w:rsidR="00526125">
        <w:rPr>
          <w:rFonts w:asciiTheme="minorHAnsi" w:hAnsiTheme="minorHAnsi" w:cstheme="minorHAnsi"/>
        </w:rPr>
        <w:lastRenderedPageBreak/>
        <w:t>większa niż dotychczas i będzie się zwiększać proporcjonalnie do udziału znieczuleń w porodach</w:t>
      </w:r>
      <w:r w:rsidR="00F9095B">
        <w:rPr>
          <w:rFonts w:asciiTheme="minorHAnsi" w:hAnsiTheme="minorHAnsi" w:cstheme="minorHAnsi"/>
        </w:rPr>
        <w:t>.</w:t>
      </w:r>
    </w:p>
    <w:p w14:paraId="1F8D8B25" w14:textId="2A56D613" w:rsidR="00F646AE" w:rsidRPr="000B38B5" w:rsidRDefault="000B38B5" w:rsidP="000B38B5">
      <w:pPr>
        <w:pStyle w:val="NormalnyWeb"/>
        <w:numPr>
          <w:ilvl w:val="0"/>
          <w:numId w:val="4"/>
        </w:numPr>
        <w:spacing w:before="0" w:beforeAutospacing="0" w:after="120" w:afterAutospacing="0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0B38B5">
        <w:rPr>
          <w:rFonts w:asciiTheme="minorHAnsi" w:hAnsiTheme="minorHAnsi" w:cstheme="minorHAnsi"/>
        </w:rPr>
        <w:t>remia dla podmiotów wykonujących gastroskopię i kolonoskopię w znieczuleniu</w:t>
      </w:r>
      <w:r>
        <w:rPr>
          <w:rStyle w:val="Odwoanieprzypisudolnego"/>
          <w:rFonts w:asciiTheme="minorHAnsi" w:hAnsiTheme="minorHAnsi" w:cstheme="minorHAnsi"/>
        </w:rPr>
        <w:footnoteReference w:id="4"/>
      </w:r>
      <w:r>
        <w:rPr>
          <w:rFonts w:asciiTheme="minorHAnsi" w:hAnsiTheme="minorHAnsi" w:cstheme="minorHAnsi"/>
        </w:rPr>
        <w:t xml:space="preserve"> - trwają prace nad zmianą przepisów – w związku z tym, że </w:t>
      </w:r>
      <w:r w:rsidRPr="000B38B5">
        <w:rPr>
          <w:rFonts w:asciiTheme="minorHAnsi" w:hAnsiTheme="minorHAnsi" w:cstheme="minorHAnsi"/>
        </w:rPr>
        <w:t xml:space="preserve">realizacja badań endoskopowych przewodu pokarmowego oraz tomografii komputerowej ii rezonansu magnetycznego w znieczuleniu nie jest wymogiem obligatoryjnym, Ministerstwo Zdrowia proponuje dodatkowe kryterium oceny, w którym podmioty zapewniające znieczulenie ogólne w </w:t>
      </w:r>
      <w:r>
        <w:rPr>
          <w:rFonts w:asciiTheme="minorHAnsi" w:hAnsiTheme="minorHAnsi" w:cstheme="minorHAnsi"/>
        </w:rPr>
        <w:t> </w:t>
      </w:r>
      <w:r w:rsidRPr="000B38B5">
        <w:rPr>
          <w:rFonts w:asciiTheme="minorHAnsi" w:hAnsiTheme="minorHAnsi" w:cstheme="minorHAnsi"/>
        </w:rPr>
        <w:t>ramach ambulatoryjnych świadczeń diagnostycznych kosztochłonnych, otrzymałyby dodatkowe punkty w postępowaniu konkursowym.</w:t>
      </w:r>
    </w:p>
    <w:p w14:paraId="2FEA512A" w14:textId="77777777" w:rsidR="003411A4" w:rsidRDefault="00526125" w:rsidP="003411A4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360"/>
        <w:jc w:val="both"/>
        <w:rPr>
          <w:rFonts w:ascii="Calibri" w:hAnsi="Calibri" w:cs="Calibri"/>
        </w:rPr>
      </w:pPr>
      <w:r w:rsidRPr="00F9095B">
        <w:rPr>
          <w:rFonts w:ascii="Calibri" w:hAnsi="Calibri" w:cs="Calibri"/>
        </w:rPr>
        <w:t>Ministerstwo Zdrowia i Narodowy Fundusz Zdrowia podpisały umowę na realizację programu „Wsparcie podstawowej opieki zdrowotnej” – z programu będzie mogło skorzystać przynajmniej 2 tysiące podmiotów leczniczych podstawowej opieki zdrowotnej, które mają podpisaną umowę z NFZ</w:t>
      </w:r>
      <w:r w:rsidR="00F9095B" w:rsidRPr="00F9095B">
        <w:rPr>
          <w:rFonts w:ascii="Calibri" w:hAnsi="Calibri" w:cs="Calibri"/>
        </w:rPr>
        <w:t>. I</w:t>
      </w:r>
      <w:r w:rsidRPr="00F9095B">
        <w:rPr>
          <w:rFonts w:ascii="Calibri" w:hAnsi="Calibri" w:cs="Calibri"/>
        </w:rPr>
        <w:t xml:space="preserve">nwestycje będą </w:t>
      </w:r>
      <w:r w:rsidRPr="00F9095B">
        <w:rPr>
          <w:rFonts w:ascii="Calibri" w:hAnsi="Calibri" w:cs="Calibri"/>
        </w:rPr>
        <w:lastRenderedPageBreak/>
        <w:t>miały na celu poszerzenia oferty świadczeń: profilaktycznych, leczniczych, opieki domowej i środowiskowej oraz wzmocnienie funkcji diagnostycznych na poziomie PO</w:t>
      </w:r>
      <w:r w:rsidR="00F9095B" w:rsidRPr="00F9095B">
        <w:rPr>
          <w:rFonts w:ascii="Calibri" w:hAnsi="Calibri" w:cs="Calibri"/>
        </w:rPr>
        <w:t>Z.</w:t>
      </w:r>
      <w:r w:rsidRPr="00F9095B">
        <w:rPr>
          <w:rFonts w:ascii="Calibri" w:hAnsi="Calibri" w:cs="Calibri"/>
        </w:rPr>
        <w:t xml:space="preserve"> </w:t>
      </w:r>
      <w:r w:rsidR="00F9095B" w:rsidRPr="00F9095B">
        <w:rPr>
          <w:rFonts w:ascii="Calibri" w:hAnsi="Calibri" w:cs="Calibri"/>
        </w:rPr>
        <w:t>P</w:t>
      </w:r>
      <w:r w:rsidRPr="00F9095B">
        <w:rPr>
          <w:rFonts w:ascii="Calibri" w:hAnsi="Calibri" w:cs="Calibri"/>
        </w:rPr>
        <w:t>remiowane będą podmioty posiadające miejsce udzielania świadczeń na obszarach z ograniczeniem dostępu do POZ lub na terenach będących „białymi plamami”, zgodnie z Mapami Potrzeb Zdrowotnych</w:t>
      </w:r>
      <w:r w:rsidR="00F9095B" w:rsidRPr="00F9095B">
        <w:rPr>
          <w:rFonts w:ascii="Calibri" w:hAnsi="Calibri" w:cs="Calibri"/>
        </w:rPr>
        <w:t>. Na program przeznaczono 1,25 mld zł, z czego prawie 80% dofinansowania pochodzi z</w:t>
      </w:r>
      <w:r w:rsidR="001D6BDF">
        <w:rPr>
          <w:rFonts w:ascii="Calibri" w:hAnsi="Calibri" w:cs="Calibri"/>
        </w:rPr>
        <w:t> </w:t>
      </w:r>
      <w:r w:rsidR="00F9095B" w:rsidRPr="00F9095B">
        <w:rPr>
          <w:rFonts w:ascii="Calibri" w:hAnsi="Calibri" w:cs="Calibri"/>
        </w:rPr>
        <w:t>Programu "Fundusze Europejskie na Infrastrukturę, Klimat, Środowisko 2021-2027" (FEnIKS). Pozostała część dofinansowania pochodzi z budżetu państwa. Pierwsze nabory do programu ruszą jesienią 2024 r.</w:t>
      </w:r>
      <w:r w:rsidR="00F9095B" w:rsidRPr="00F9095B">
        <w:rPr>
          <w:rStyle w:val="Odwoanieprzypisudolnego"/>
          <w:rFonts w:ascii="Calibri" w:hAnsi="Calibri" w:cs="Calibri"/>
        </w:rPr>
        <w:footnoteReference w:id="5"/>
      </w:r>
    </w:p>
    <w:p w14:paraId="63E7D1D3" w14:textId="77777777" w:rsidR="003D778E" w:rsidRDefault="003411A4" w:rsidP="003411A4">
      <w:pPr>
        <w:pStyle w:val="NormalnyWeb"/>
        <w:numPr>
          <w:ilvl w:val="0"/>
          <w:numId w:val="4"/>
        </w:numPr>
        <w:spacing w:before="0" w:beforeAutospacing="0" w:after="120" w:afterAutospacing="0" w:line="276" w:lineRule="auto"/>
        <w:ind w:left="360"/>
        <w:jc w:val="both"/>
        <w:rPr>
          <w:rFonts w:ascii="Calibri" w:hAnsi="Calibri" w:cs="Calibri"/>
        </w:rPr>
        <w:sectPr w:rsidR="003D778E" w:rsidSect="005B684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>r</w:t>
      </w:r>
      <w:r w:rsidRPr="003411A4">
        <w:rPr>
          <w:rFonts w:ascii="Calibri" w:hAnsi="Calibri" w:cs="Calibri"/>
        </w:rPr>
        <w:t xml:space="preserve">ządowy program finansowania leczenia niepłodności metodą in vitro </w:t>
      </w:r>
      <w:r>
        <w:rPr>
          <w:rFonts w:ascii="Calibri" w:hAnsi="Calibri" w:cs="Calibri"/>
        </w:rPr>
        <w:t xml:space="preserve">- </w:t>
      </w:r>
      <w:r w:rsidR="001D6BDF" w:rsidRPr="003411A4">
        <w:rPr>
          <w:rFonts w:ascii="Calibri" w:hAnsi="Calibri" w:cs="Calibri"/>
        </w:rPr>
        <w:t xml:space="preserve">Ministerstwo Zdrowia przedstawiło założenia programu in vitro finansowanego z budżetu państwa – program będzie obowiązywał od 1 czerwca 2024 r. do 31 grudnia 2028 r., i rocznie będzie kosztował 500 mln zł (2,5 mld zł w całym </w:t>
      </w:r>
      <w:r w:rsidR="001D6BDF" w:rsidRPr="003411A4">
        <w:rPr>
          <w:rFonts w:ascii="Calibri" w:hAnsi="Calibri" w:cs="Calibri"/>
        </w:rPr>
        <w:lastRenderedPageBreak/>
        <w:t xml:space="preserve">okresie obowiązywania). </w:t>
      </w:r>
      <w:r w:rsidRPr="003411A4">
        <w:rPr>
          <w:rFonts w:ascii="Calibri" w:hAnsi="Calibri" w:cs="Calibri"/>
        </w:rPr>
        <w:t xml:space="preserve">Celem programu jest równy dostęp do metody in vitro dla wszystkich par borykających się z </w:t>
      </w:r>
      <w:r>
        <w:rPr>
          <w:rFonts w:ascii="Calibri" w:hAnsi="Calibri" w:cs="Calibri"/>
        </w:rPr>
        <w:t> </w:t>
      </w:r>
      <w:r w:rsidRPr="003411A4">
        <w:rPr>
          <w:rFonts w:ascii="Calibri" w:hAnsi="Calibri" w:cs="Calibri"/>
        </w:rPr>
        <w:t xml:space="preserve">niepłodnością, tj. ze stwierdzoną lub nieskutecznie leczoną niepłodnością w ciągu 12 </w:t>
      </w:r>
      <w:r>
        <w:rPr>
          <w:rFonts w:ascii="Calibri" w:hAnsi="Calibri" w:cs="Calibri"/>
        </w:rPr>
        <w:t> </w:t>
      </w:r>
      <w:r w:rsidRPr="003411A4">
        <w:rPr>
          <w:rFonts w:ascii="Calibri" w:hAnsi="Calibri" w:cs="Calibri"/>
        </w:rPr>
        <w:t>miesięcy przed zgłoszeniem do niego, dla osób w związku małżeńskim lub byciu w parze we wspólnym pożyciu oraz dla tych osób, które brały udział w innych programach i mają kriokonserwowane, przechowywane zarodki. Obejmuje także pacjentów z chorobami onkologicznymi, będą mogli zabezpieczyć płodność na przyszłość poprzez pobranie i  przechowywanie gamet przed lub w trakcie leczenia onkologicznego. Wkrótce ogłoszony zostanie konkurs ofert na realizatorów programu, w którym mogą wziąć udział ośrodki medycznie wspomaganej prokreacji, posiadające odpowiednie zaplecze kadrowe i  sprzętowe (publiczne i prywatne podmioty)</w:t>
      </w:r>
      <w:r w:rsidRPr="003411A4">
        <w:rPr>
          <w:rStyle w:val="Odwoanieprzypisudolnego"/>
          <w:rFonts w:ascii="Calibri" w:hAnsi="Calibri" w:cs="Calibri"/>
        </w:rPr>
        <w:footnoteReference w:id="6"/>
      </w:r>
      <w:r w:rsidRPr="003411A4">
        <w:rPr>
          <w:rFonts w:ascii="Calibri" w:hAnsi="Calibri" w:cs="Calibri"/>
        </w:rPr>
        <w:t>.</w:t>
      </w:r>
    </w:p>
    <w:p w14:paraId="179334AB" w14:textId="77777777" w:rsidR="005B684D" w:rsidRPr="007C0BB3" w:rsidRDefault="005B684D" w:rsidP="003D778E">
      <w:pPr>
        <w:pStyle w:val="Nagwek3"/>
        <w:spacing w:before="0" w:after="120"/>
        <w:ind w:left="0"/>
        <w:rPr>
          <w:rFonts w:asciiTheme="minorHAnsi" w:hAnsiTheme="minorHAnsi" w:cstheme="minorHAnsi"/>
          <w:szCs w:val="24"/>
        </w:rPr>
      </w:pPr>
      <w:r w:rsidRPr="007C0BB3">
        <w:rPr>
          <w:rFonts w:asciiTheme="minorHAnsi" w:hAnsiTheme="minorHAnsi" w:cstheme="minorHAnsi"/>
          <w:szCs w:val="24"/>
        </w:rPr>
        <w:lastRenderedPageBreak/>
        <w:t>Podwyżki wynagrodzenia zasadniczego w podmiotach leczniczych od 1 lipca 202</w:t>
      </w:r>
      <w:r>
        <w:rPr>
          <w:rFonts w:asciiTheme="minorHAnsi" w:hAnsiTheme="minorHAnsi" w:cstheme="minorHAnsi"/>
          <w:szCs w:val="24"/>
        </w:rPr>
        <w:t>4</w:t>
      </w:r>
      <w:r w:rsidRPr="007C0BB3">
        <w:rPr>
          <w:rFonts w:asciiTheme="minorHAnsi" w:hAnsiTheme="minorHAnsi" w:cstheme="minorHAnsi"/>
          <w:szCs w:val="24"/>
        </w:rPr>
        <w:t xml:space="preserve"> r.</w:t>
      </w:r>
    </w:p>
    <w:p w14:paraId="05583162" w14:textId="77777777" w:rsidR="005B684D" w:rsidRDefault="005B684D" w:rsidP="005B684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C0BB3">
        <w:rPr>
          <w:rFonts w:asciiTheme="minorHAnsi" w:hAnsiTheme="minorHAnsi" w:cstheme="minorHAnsi"/>
          <w:sz w:val="24"/>
          <w:szCs w:val="24"/>
        </w:rPr>
        <w:t xml:space="preserve">Główny Urząd Statystyczny opublikował kwotę przeciętnego miesięcznego wynagrodzenia brutto w gospodarce narodowej </w:t>
      </w:r>
      <w:r>
        <w:rPr>
          <w:rFonts w:asciiTheme="minorHAnsi" w:hAnsiTheme="minorHAnsi" w:cstheme="minorHAnsi"/>
          <w:sz w:val="24"/>
          <w:szCs w:val="24"/>
        </w:rPr>
        <w:t>–</w:t>
      </w:r>
      <w:r w:rsidRPr="007C0BB3">
        <w:rPr>
          <w:rFonts w:asciiTheme="minorHAnsi" w:hAnsiTheme="minorHAnsi" w:cstheme="minorHAnsi"/>
          <w:sz w:val="24"/>
          <w:szCs w:val="24"/>
        </w:rPr>
        <w:t xml:space="preserve"> w 2023 r. wyniosło ono 7.155,48 zł. Od tej wartości uzależniona jest wysokość minimalnej pensji w ochronie zdrowia, która na mocy przepisów ustawy z dnia 8 czerwca 2017 r. o sposobie ustalania najniższego wynagrodzenia zasadniczego niektórych pracowników zatrudnionych w podmiotach leczniczych (t.j. Dz. U. z 2022 r. poz. 2139) z dniem 1 lipca 2024 r. ulegnie ponownemu podwyższeniu. Tabela 1 zawiera dane dotyczące wartości wynagrodzeń w poszczególnych grupach zawodowych od dnia 1 lipca 2024 r.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6B24FD" w14:textId="77777777" w:rsidR="005B684D" w:rsidRPr="005118C1" w:rsidRDefault="005B684D" w:rsidP="005B684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118C1">
        <w:rPr>
          <w:rFonts w:asciiTheme="minorHAnsi" w:hAnsiTheme="minorHAnsi" w:cstheme="minorHAnsi"/>
          <w:sz w:val="24"/>
          <w:szCs w:val="24"/>
        </w:rPr>
        <w:t xml:space="preserve">Szacowany koszt podwyżek </w:t>
      </w:r>
      <w:r>
        <w:rPr>
          <w:rFonts w:asciiTheme="minorHAnsi" w:hAnsiTheme="minorHAnsi" w:cstheme="minorHAnsi"/>
          <w:sz w:val="24"/>
          <w:szCs w:val="24"/>
        </w:rPr>
        <w:t xml:space="preserve">finansowany z budżetu Narodowego Funduszu Zdrowia </w:t>
      </w:r>
      <w:r w:rsidRPr="005118C1">
        <w:rPr>
          <w:rFonts w:asciiTheme="minorHAnsi" w:hAnsiTheme="minorHAnsi" w:cstheme="minorHAnsi"/>
          <w:sz w:val="24"/>
          <w:szCs w:val="24"/>
        </w:rPr>
        <w:t>od 1 lipca 2024 r. to około 15 do 15,5 mld zł.</w:t>
      </w:r>
      <w:r w:rsidRPr="005118C1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7"/>
      </w:r>
    </w:p>
    <w:p w14:paraId="6076D413" w14:textId="77777777" w:rsidR="005B684D" w:rsidRPr="005118C1" w:rsidRDefault="005B684D" w:rsidP="005B684D">
      <w:pPr>
        <w:pStyle w:val="Default"/>
        <w:spacing w:after="120" w:line="276" w:lineRule="auto"/>
        <w:jc w:val="both"/>
        <w:rPr>
          <w:rFonts w:asciiTheme="minorHAnsi" w:hAnsiTheme="minorHAnsi" w:cstheme="minorHAnsi"/>
        </w:rPr>
      </w:pPr>
      <w:r w:rsidRPr="005118C1">
        <w:rPr>
          <w:rFonts w:asciiTheme="minorHAnsi" w:hAnsiTheme="minorHAnsi" w:cstheme="minorHAnsi"/>
        </w:rPr>
        <w:lastRenderedPageBreak/>
        <w:t>W dniach od 15 lutego do 10 kwietnia 2024 r., w związku ze zleceniem Ministerstwa Zdrowia w sprawie wyliczenia kosztów lipcowych podwyżek w ochronie zdrowia, Agencja Oceny Technologii Medycznych i Taryfikacji przeprowadziła proces ponownego gromadzenia danych o wynagrodzeniach osób zatrudnionych w podmiotach leczniczych, które posiadają podpisaną umowę z Narodowym Funduszem Zdrowia</w:t>
      </w:r>
      <w:r>
        <w:rPr>
          <w:rStyle w:val="Odwoanieprzypisudolnego"/>
          <w:rFonts w:asciiTheme="minorHAnsi" w:hAnsiTheme="minorHAnsi" w:cstheme="minorHAnsi"/>
        </w:rPr>
        <w:footnoteReference w:id="8"/>
      </w:r>
      <w:r w:rsidRPr="005118C1">
        <w:rPr>
          <w:rFonts w:asciiTheme="minorHAnsi" w:hAnsiTheme="minorHAnsi" w:cstheme="minorHAnsi"/>
        </w:rPr>
        <w:t xml:space="preserve">. Celem zbiórki danych było uzyskanie informacji o </w:t>
      </w:r>
      <w:r>
        <w:rPr>
          <w:rFonts w:asciiTheme="minorHAnsi" w:hAnsiTheme="minorHAnsi" w:cstheme="minorHAnsi"/>
        </w:rPr>
        <w:t> </w:t>
      </w:r>
      <w:r w:rsidRPr="005118C1">
        <w:rPr>
          <w:rFonts w:asciiTheme="minorHAnsi" w:hAnsiTheme="minorHAnsi" w:cstheme="minorHAnsi"/>
        </w:rPr>
        <w:t xml:space="preserve">wartości wynagrodzeń pracowników podmiotów leczniczych w ramach wszystkich form zatrudnienia, a także pozyskanie danych dotyczących struktury zatrudnienia z podziałem na grupy zawodowe i kategorie personelu. Dodatkowo gromadzone były dane o strukturze przychodów i kosztów prowadzonej działalności oraz informacje na temat średnich jednostkowych kosztów wytworzenia procedur realizowanych przez świadczeniodawcę. </w:t>
      </w:r>
    </w:p>
    <w:p w14:paraId="49B2D8C2" w14:textId="77777777" w:rsidR="005B684D" w:rsidRPr="005B684D" w:rsidRDefault="005B684D" w:rsidP="005B684D">
      <w:pPr>
        <w:spacing w:after="120"/>
        <w:jc w:val="both"/>
        <w:rPr>
          <w:rFonts w:asciiTheme="minorHAnsi" w:hAnsiTheme="minorHAnsi" w:cstheme="minorHAnsi"/>
          <w:color w:val="1C1C1C"/>
          <w:sz w:val="24"/>
          <w:szCs w:val="24"/>
        </w:rPr>
      </w:pPr>
      <w:r w:rsidRPr="005B684D">
        <w:rPr>
          <w:rFonts w:asciiTheme="minorHAnsi" w:hAnsiTheme="minorHAnsi" w:cstheme="minorHAnsi"/>
          <w:color w:val="1C1C1C"/>
          <w:sz w:val="24"/>
          <w:szCs w:val="24"/>
        </w:rPr>
        <w:lastRenderedPageBreak/>
        <w:t>W maju 2023 r. Komitet Inicjatywy Ustawodawczej utworzony przez Ogólnopolski Związek Zawodowy Pielęgniarek i Położnych złożył w Sejmie obywatelski projekt ustawy o zmianie ustawy o sposobie ustalania najniższego wynagrodzenia zasadniczego niektórych pracowników zatrudnionych w podmiotach leczniczych. Projekt zakłada m.in.:</w:t>
      </w:r>
    </w:p>
    <w:p w14:paraId="6D326DFB" w14:textId="77777777" w:rsidR="005B684D" w:rsidRPr="005B684D" w:rsidRDefault="005B684D" w:rsidP="003D778E">
      <w:pPr>
        <w:pStyle w:val="NormalnyWeb"/>
        <w:numPr>
          <w:ilvl w:val="0"/>
          <w:numId w:val="12"/>
        </w:numPr>
        <w:spacing w:before="0" w:beforeAutospacing="0" w:after="120" w:afterAutospacing="0" w:line="276" w:lineRule="auto"/>
        <w:ind w:left="360"/>
        <w:jc w:val="both"/>
        <w:rPr>
          <w:rFonts w:asciiTheme="minorHAnsi" w:hAnsiTheme="minorHAnsi" w:cstheme="minorHAnsi"/>
        </w:rPr>
      </w:pPr>
      <w:r w:rsidRPr="005B684D">
        <w:rPr>
          <w:rFonts w:asciiTheme="minorHAnsi" w:hAnsiTheme="minorHAnsi" w:cstheme="minorHAnsi"/>
        </w:rPr>
        <w:t>wyższe od dotychczasowych współczynniki pracy dla czterech z dziesięciu grup zawodowych pracowników objętych nowelizowaną ustawą:</w:t>
      </w:r>
    </w:p>
    <w:p w14:paraId="42B2186A" w14:textId="0464818B" w:rsidR="005B684D" w:rsidRPr="005B684D" w:rsidRDefault="005B684D" w:rsidP="00844297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5B684D">
        <w:rPr>
          <w:rFonts w:asciiTheme="minorHAnsi" w:hAnsiTheme="minorHAnsi" w:cstheme="minorHAnsi"/>
        </w:rPr>
        <w:t>grupa 3</w:t>
      </w:r>
      <w:r w:rsidRPr="005B684D">
        <w:rPr>
          <w:rFonts w:asciiTheme="minorHAnsi" w:hAnsiTheme="minorHAnsi" w:cstheme="minorHAnsi"/>
          <w:b/>
          <w:bCs/>
        </w:rPr>
        <w:t xml:space="preserve"> </w:t>
      </w:r>
      <w:r w:rsidRPr="005B684D">
        <w:rPr>
          <w:rFonts w:asciiTheme="minorHAnsi" w:hAnsiTheme="minorHAnsi" w:cstheme="minorHAnsi"/>
        </w:rPr>
        <w:t>- z 1,19 na 1,25</w:t>
      </w:r>
      <w:r>
        <w:rPr>
          <w:rFonts w:asciiTheme="minorHAnsi" w:hAnsiTheme="minorHAnsi" w:cstheme="minorHAnsi"/>
        </w:rPr>
        <w:t>;</w:t>
      </w:r>
    </w:p>
    <w:p w14:paraId="455F7971" w14:textId="1E0D6EE8" w:rsidR="005B684D" w:rsidRPr="005B684D" w:rsidRDefault="005B684D" w:rsidP="00844297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5B684D">
        <w:rPr>
          <w:rFonts w:asciiTheme="minorHAnsi" w:hAnsiTheme="minorHAnsi" w:cstheme="minorHAnsi"/>
        </w:rPr>
        <w:t xml:space="preserve">grupa 4 - z 0,95 na 1,09 </w:t>
      </w:r>
      <w:r>
        <w:rPr>
          <w:rFonts w:asciiTheme="minorHAnsi" w:hAnsiTheme="minorHAnsi" w:cstheme="minorHAnsi"/>
        </w:rPr>
        <w:t>;</w:t>
      </w:r>
    </w:p>
    <w:p w14:paraId="7AC2C335" w14:textId="4F698483" w:rsidR="005B684D" w:rsidRPr="005B684D" w:rsidRDefault="005B684D" w:rsidP="003D778E">
      <w:pPr>
        <w:pStyle w:val="NormalnyWeb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5B684D">
        <w:rPr>
          <w:rFonts w:asciiTheme="minorHAnsi" w:hAnsiTheme="minorHAnsi" w:cstheme="minorHAnsi"/>
        </w:rPr>
        <w:t>grupa 5</w:t>
      </w:r>
      <w:r w:rsidRPr="005B684D">
        <w:rPr>
          <w:rFonts w:asciiTheme="minorHAnsi" w:hAnsiTheme="minorHAnsi" w:cstheme="minorHAnsi"/>
          <w:b/>
          <w:bCs/>
        </w:rPr>
        <w:t xml:space="preserve"> </w:t>
      </w:r>
      <w:r w:rsidRPr="005B684D">
        <w:rPr>
          <w:rFonts w:asciiTheme="minorHAnsi" w:hAnsiTheme="minorHAnsi" w:cstheme="minorHAnsi"/>
        </w:rPr>
        <w:t>- z 1,02 na 1,19</w:t>
      </w:r>
      <w:r>
        <w:rPr>
          <w:rFonts w:asciiTheme="minorHAnsi" w:hAnsiTheme="minorHAnsi" w:cstheme="minorHAnsi"/>
        </w:rPr>
        <w:t>;</w:t>
      </w:r>
    </w:p>
    <w:p w14:paraId="1CC7BC52" w14:textId="577BA5EB" w:rsidR="005B684D" w:rsidRPr="003D778E" w:rsidRDefault="005B684D" w:rsidP="00844297">
      <w:pPr>
        <w:pStyle w:val="Normalny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3D778E">
        <w:rPr>
          <w:rFonts w:asciiTheme="minorHAnsi" w:hAnsiTheme="minorHAnsi" w:cstheme="minorHAnsi"/>
        </w:rPr>
        <w:t>grupa 6 - z  0,94 na 1,09;</w:t>
      </w:r>
    </w:p>
    <w:p w14:paraId="35905734" w14:textId="77777777" w:rsidR="005B684D" w:rsidRPr="005B684D" w:rsidRDefault="005B684D" w:rsidP="00844297">
      <w:pPr>
        <w:pStyle w:val="Akapitzlist"/>
        <w:numPr>
          <w:ilvl w:val="0"/>
          <w:numId w:val="12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5B684D">
        <w:rPr>
          <w:rFonts w:asciiTheme="minorHAnsi" w:hAnsiTheme="minorHAnsi" w:cstheme="minorHAnsi"/>
          <w:sz w:val="24"/>
          <w:szCs w:val="24"/>
        </w:rPr>
        <w:t>zmianę kryterium decydującego o przypisaniu pracowników medycznych do poszczególnych grup zawodowych: w miejsce dotychczasowego kryterium „</w:t>
      </w:r>
      <w:r w:rsidRPr="005B684D">
        <w:rPr>
          <w:rFonts w:asciiTheme="minorHAnsi" w:eastAsia="Times New Roman" w:hAnsiTheme="minorHAnsi" w:cstheme="minorHAnsi"/>
          <w:sz w:val="24"/>
          <w:szCs w:val="24"/>
        </w:rPr>
        <w:t xml:space="preserve">kwalifikacji wymaganych na zajmowanym stanowisku” proponuje się wprowadzenie kryterium „kwalifikacji posiadanych na zajmowanym stanowisku”. </w:t>
      </w:r>
      <w:r w:rsidRPr="005B684D">
        <w:rPr>
          <w:rFonts w:asciiTheme="minorHAnsi" w:eastAsia="Times New Roman" w:hAnsiTheme="minorHAnsi" w:cstheme="minorHAnsi"/>
          <w:sz w:val="24"/>
          <w:szCs w:val="24"/>
        </w:rPr>
        <w:lastRenderedPageBreak/>
        <w:t>Zmiana kryterium decydującego o przypisaniu do grup zawodowych ma dotyczyć pracowników medycznych, nie obejmuje pracowników działalności podstawowej</w:t>
      </w:r>
      <w:r>
        <w:rPr>
          <w:rFonts w:asciiTheme="minorHAnsi" w:eastAsia="Times New Roman" w:hAnsiTheme="minorHAnsi" w:cstheme="minorHAnsi"/>
          <w:sz w:val="24"/>
          <w:szCs w:val="24"/>
        </w:rPr>
        <w:t>;</w:t>
      </w:r>
    </w:p>
    <w:p w14:paraId="7D6E2F51" w14:textId="77777777" w:rsidR="005B684D" w:rsidRPr="005B684D" w:rsidRDefault="005B684D" w:rsidP="00844297">
      <w:pPr>
        <w:pStyle w:val="Akapitzlist"/>
        <w:numPr>
          <w:ilvl w:val="0"/>
          <w:numId w:val="12"/>
        </w:numPr>
        <w:spacing w:after="120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5B684D">
        <w:rPr>
          <w:rFonts w:asciiTheme="minorHAnsi" w:hAnsiTheme="minorHAnsi" w:cstheme="minorHAnsi"/>
          <w:sz w:val="24"/>
          <w:szCs w:val="24"/>
        </w:rPr>
        <w:t>wprowadzenie mechanizmu, który ma zapewnić gwarancj</w:t>
      </w:r>
      <w:r>
        <w:rPr>
          <w:rFonts w:asciiTheme="minorHAnsi" w:hAnsiTheme="minorHAnsi" w:cstheme="minorHAnsi"/>
          <w:sz w:val="24"/>
          <w:szCs w:val="24"/>
        </w:rPr>
        <w:t>ę</w:t>
      </w:r>
      <w:r w:rsidRPr="005B684D">
        <w:rPr>
          <w:rFonts w:asciiTheme="minorHAnsi" w:hAnsiTheme="minorHAnsi" w:cstheme="minorHAnsi"/>
          <w:sz w:val="24"/>
          <w:szCs w:val="24"/>
        </w:rPr>
        <w:t xml:space="preserve"> przekazywania podmiotom leczniczym środków na bieżące podwyższenie najniższego wynagrodzenia zasadniczego pracowników objętych nowelizowaną ustawą.</w:t>
      </w:r>
    </w:p>
    <w:p w14:paraId="071A36EE" w14:textId="481F9659" w:rsidR="005B684D" w:rsidRDefault="005B684D" w:rsidP="003446E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B684D">
        <w:rPr>
          <w:rFonts w:asciiTheme="minorHAnsi" w:hAnsiTheme="minorHAnsi" w:cstheme="minorHAnsi"/>
          <w:sz w:val="24"/>
          <w:szCs w:val="24"/>
        </w:rPr>
        <w:t xml:space="preserve">Koszty procedowanego obywatelskiego projektu ustawy o zmianie minimalnego wynagrodzenia w podmiotach leczniczych to dodatkowo około </w:t>
      </w:r>
      <w:r w:rsidR="00F646AE">
        <w:rPr>
          <w:rFonts w:asciiTheme="minorHAnsi" w:hAnsiTheme="minorHAnsi" w:cstheme="minorHAnsi"/>
          <w:sz w:val="24"/>
          <w:szCs w:val="24"/>
        </w:rPr>
        <w:t>8,8</w:t>
      </w:r>
      <w:r w:rsidRPr="005B684D">
        <w:rPr>
          <w:rFonts w:asciiTheme="minorHAnsi" w:hAnsiTheme="minorHAnsi" w:cstheme="minorHAnsi"/>
          <w:sz w:val="24"/>
          <w:szCs w:val="24"/>
        </w:rPr>
        <w:t xml:space="preserve"> mld zł w 2024 r</w:t>
      </w:r>
      <w:r>
        <w:rPr>
          <w:rFonts w:asciiTheme="minorHAnsi" w:hAnsiTheme="minorHAnsi" w:cstheme="minorHAnsi"/>
          <w:sz w:val="24"/>
          <w:szCs w:val="24"/>
        </w:rPr>
        <w:t>oku.</w:t>
      </w:r>
    </w:p>
    <w:p w14:paraId="72ECB908" w14:textId="344108E8" w:rsidR="00F646AE" w:rsidRPr="00F646AE" w:rsidRDefault="003446EB" w:rsidP="00F646AE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3446EB">
        <w:rPr>
          <w:rFonts w:asciiTheme="minorHAnsi" w:hAnsiTheme="minorHAnsi" w:cstheme="minorHAnsi"/>
          <w:sz w:val="24"/>
          <w:szCs w:val="24"/>
        </w:rPr>
        <w:t xml:space="preserve">W ramach prac nad projektem </w:t>
      </w:r>
      <w:r>
        <w:rPr>
          <w:rFonts w:asciiTheme="minorHAnsi" w:hAnsiTheme="minorHAnsi" w:cstheme="minorHAnsi"/>
          <w:sz w:val="24"/>
          <w:szCs w:val="24"/>
        </w:rPr>
        <w:t xml:space="preserve">ww. ustawy </w:t>
      </w:r>
      <w:r w:rsidRPr="003446EB">
        <w:rPr>
          <w:rFonts w:asciiTheme="minorHAnsi" w:hAnsiTheme="minorHAnsi" w:cstheme="minorHAnsi"/>
          <w:sz w:val="24"/>
          <w:szCs w:val="24"/>
        </w:rPr>
        <w:t>prowadzonych w sejmie Komisja Zdrowia i Komisja Finansów Publicznych zdecydowały o powołaniu podkomisji</w:t>
      </w:r>
      <w:r>
        <w:rPr>
          <w:rFonts w:asciiTheme="minorHAnsi" w:hAnsiTheme="minorHAnsi" w:cstheme="minorHAnsi"/>
          <w:sz w:val="24"/>
          <w:szCs w:val="24"/>
        </w:rPr>
        <w:t xml:space="preserve"> w tej sprawie</w:t>
      </w:r>
      <w:r w:rsidRPr="003446EB">
        <w:rPr>
          <w:rFonts w:asciiTheme="minorHAnsi" w:hAnsiTheme="minorHAnsi" w:cstheme="minorHAnsi"/>
          <w:sz w:val="24"/>
          <w:szCs w:val="24"/>
        </w:rPr>
        <w:t>. Pierwsze posiedzenie odbyło się 21 lutego</w:t>
      </w:r>
      <w:r w:rsidR="00F646AE">
        <w:rPr>
          <w:rFonts w:asciiTheme="minorHAnsi" w:hAnsiTheme="minorHAnsi" w:cstheme="minorHAnsi"/>
          <w:sz w:val="24"/>
          <w:szCs w:val="24"/>
        </w:rPr>
        <w:t xml:space="preserve"> 2024 r. W</w:t>
      </w:r>
      <w:r w:rsidRPr="003446EB">
        <w:rPr>
          <w:rFonts w:asciiTheme="minorHAnsi" w:hAnsiTheme="minorHAnsi" w:cstheme="minorHAnsi"/>
          <w:sz w:val="24"/>
          <w:szCs w:val="24"/>
        </w:rPr>
        <w:t xml:space="preserve"> dniu 11 kwietnia 2024 r.</w:t>
      </w:r>
      <w:r w:rsidR="00F646AE">
        <w:rPr>
          <w:rFonts w:asciiTheme="minorHAnsi" w:hAnsiTheme="minorHAnsi" w:cstheme="minorHAnsi"/>
          <w:sz w:val="24"/>
          <w:szCs w:val="24"/>
        </w:rPr>
        <w:t xml:space="preserve">, podczas </w:t>
      </w:r>
      <w:r w:rsidR="00F646AE">
        <w:rPr>
          <w:rFonts w:asciiTheme="minorHAnsi" w:hAnsiTheme="minorHAnsi" w:cstheme="minorHAnsi"/>
          <w:sz w:val="24"/>
          <w:szCs w:val="24"/>
        </w:rPr>
        <w:lastRenderedPageBreak/>
        <w:t xml:space="preserve">kolejnego </w:t>
      </w:r>
      <w:r w:rsidR="00F646AE" w:rsidRPr="00F646AE">
        <w:rPr>
          <w:rFonts w:asciiTheme="minorHAnsi" w:hAnsiTheme="minorHAnsi" w:cstheme="minorHAnsi"/>
          <w:sz w:val="24"/>
          <w:szCs w:val="24"/>
        </w:rPr>
        <w:t>posiedzenia Komisji</w:t>
      </w:r>
      <w:r w:rsidR="00F646AE">
        <w:rPr>
          <w:rFonts w:asciiTheme="minorHAnsi" w:hAnsiTheme="minorHAnsi" w:cstheme="minorHAnsi"/>
          <w:sz w:val="24"/>
          <w:szCs w:val="24"/>
        </w:rPr>
        <w:t>,</w:t>
      </w:r>
      <w:r w:rsidR="00F646AE" w:rsidRPr="00F646AE">
        <w:rPr>
          <w:rFonts w:asciiTheme="minorHAnsi" w:hAnsiTheme="minorHAnsi" w:cstheme="minorHAnsi"/>
          <w:sz w:val="24"/>
          <w:szCs w:val="24"/>
        </w:rPr>
        <w:t xml:space="preserve"> </w:t>
      </w:r>
      <w:r w:rsidRPr="00F646AE">
        <w:rPr>
          <w:rFonts w:asciiTheme="minorHAnsi" w:hAnsiTheme="minorHAnsi" w:cstheme="minorHAnsi"/>
          <w:sz w:val="24"/>
          <w:szCs w:val="24"/>
        </w:rPr>
        <w:t>Ministerstwo Zdrowia przedstawiło swoje stanowisko w sprawie projektu</w:t>
      </w:r>
      <w:r w:rsidR="00D71A25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9"/>
      </w:r>
      <w:r w:rsidR="00F646AE" w:rsidRPr="00F646AE">
        <w:rPr>
          <w:rFonts w:asciiTheme="minorHAnsi" w:hAnsiTheme="minorHAnsi" w:cstheme="minorHAnsi"/>
          <w:sz w:val="24"/>
          <w:szCs w:val="24"/>
        </w:rPr>
        <w:t xml:space="preserve"> </w:t>
      </w:r>
      <w:r w:rsidR="00F646AE">
        <w:rPr>
          <w:rFonts w:asciiTheme="minorHAnsi" w:hAnsiTheme="minorHAnsi" w:cstheme="minorHAnsi"/>
          <w:sz w:val="24"/>
          <w:szCs w:val="24"/>
        </w:rPr>
        <w:t>– ze względu na brak środków finansowych w 2024 roku podniesienie współczynników w  grupie 5 i 6 miałoby nastąpić od 1 stycznia 2025 r. i od 1 stycznia 2026 r. wg poniższ</w:t>
      </w:r>
      <w:r w:rsidR="00D71A25">
        <w:rPr>
          <w:rFonts w:asciiTheme="minorHAnsi" w:hAnsiTheme="minorHAnsi" w:cstheme="minorHAnsi"/>
          <w:sz w:val="24"/>
          <w:szCs w:val="24"/>
        </w:rPr>
        <w:t>ej propozycji</w:t>
      </w:r>
      <w:r w:rsidR="00F646AE" w:rsidRPr="00F646AE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7E83693B" w14:textId="7D32CA92" w:rsidR="00F646AE" w:rsidRPr="00D71A25" w:rsidRDefault="00F646AE" w:rsidP="00D71A25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71A25">
        <w:rPr>
          <w:rFonts w:asciiTheme="minorHAnsi" w:eastAsia="Times New Roman" w:hAnsiTheme="minorHAnsi" w:cstheme="minorHAnsi"/>
          <w:sz w:val="24"/>
          <w:szCs w:val="24"/>
          <w:lang w:eastAsia="pl-PL"/>
        </w:rPr>
        <w:t>od 1 stycznia 2025</w:t>
      </w:r>
      <w:r w:rsidR="00D71A25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1268EA0F" w14:textId="19960D2B" w:rsidR="00F646AE" w:rsidRPr="00F646AE" w:rsidRDefault="00F646AE" w:rsidP="00F646AE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46AE">
        <w:rPr>
          <w:rFonts w:asciiTheme="minorHAnsi" w:eastAsia="Times New Roman" w:hAnsiTheme="minorHAnsi" w:cstheme="minorHAnsi"/>
          <w:sz w:val="24"/>
          <w:szCs w:val="24"/>
          <w:lang w:eastAsia="pl-PL"/>
        </w:rPr>
        <w:t>grupa 5. - 1,1 - 7871,03 zł brutto</w:t>
      </w:r>
      <w:r w:rsidR="00D71A2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5DE7EB08" w14:textId="5CC0962A" w:rsidR="00F646AE" w:rsidRPr="00F646AE" w:rsidRDefault="00F646AE" w:rsidP="00F646AE">
      <w:pPr>
        <w:numPr>
          <w:ilvl w:val="0"/>
          <w:numId w:val="25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46AE">
        <w:rPr>
          <w:rFonts w:asciiTheme="minorHAnsi" w:eastAsia="Times New Roman" w:hAnsiTheme="minorHAnsi" w:cstheme="minorHAnsi"/>
          <w:sz w:val="24"/>
          <w:szCs w:val="24"/>
          <w:lang w:eastAsia="pl-PL"/>
        </w:rPr>
        <w:t>grupa 6. - 1,02 - 7298,50 zł brutto</w:t>
      </w:r>
      <w:r w:rsidR="00D71A2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5308AD8" w14:textId="634D9FF3" w:rsidR="00F646AE" w:rsidRPr="00D71A25" w:rsidRDefault="00F646AE" w:rsidP="00D71A25">
      <w:pPr>
        <w:pStyle w:val="Akapitzlist"/>
        <w:numPr>
          <w:ilvl w:val="0"/>
          <w:numId w:val="27"/>
        </w:numPr>
        <w:spacing w:after="0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71A25">
        <w:rPr>
          <w:rFonts w:asciiTheme="minorHAnsi" w:eastAsia="Times New Roman" w:hAnsiTheme="minorHAnsi" w:cstheme="minorHAnsi"/>
          <w:sz w:val="24"/>
          <w:szCs w:val="24"/>
          <w:lang w:eastAsia="pl-PL"/>
        </w:rPr>
        <w:t>od 1 stycznia 2026</w:t>
      </w:r>
      <w:r w:rsidR="00D71A25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14:paraId="524B3A63" w14:textId="33FE0D30" w:rsidR="00F646AE" w:rsidRPr="00F646AE" w:rsidRDefault="00F646AE" w:rsidP="00F646AE">
      <w:pPr>
        <w:numPr>
          <w:ilvl w:val="0"/>
          <w:numId w:val="26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46AE">
        <w:rPr>
          <w:rFonts w:asciiTheme="minorHAnsi" w:eastAsia="Times New Roman" w:hAnsiTheme="minorHAnsi" w:cstheme="minorHAnsi"/>
          <w:sz w:val="24"/>
          <w:szCs w:val="24"/>
          <w:lang w:eastAsia="pl-PL"/>
        </w:rPr>
        <w:t>grupa 5. - 1,15</w:t>
      </w:r>
      <w:r w:rsidR="00D71A25">
        <w:rPr>
          <w:rFonts w:asciiTheme="minorHAnsi" w:eastAsia="Times New Roman" w:hAnsiTheme="minorHAnsi" w:cstheme="minorHAnsi"/>
          <w:sz w:val="24"/>
          <w:szCs w:val="24"/>
          <w:lang w:eastAsia="pl-PL"/>
        </w:rPr>
        <w:t>;</w:t>
      </w:r>
    </w:p>
    <w:p w14:paraId="2B0BD177" w14:textId="344CB119" w:rsidR="00F646AE" w:rsidRPr="00F646AE" w:rsidRDefault="00F646AE" w:rsidP="00F646AE">
      <w:pPr>
        <w:numPr>
          <w:ilvl w:val="0"/>
          <w:numId w:val="26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F646AE">
        <w:rPr>
          <w:rFonts w:asciiTheme="minorHAnsi" w:eastAsia="Times New Roman" w:hAnsiTheme="minorHAnsi" w:cstheme="minorHAnsi"/>
          <w:sz w:val="24"/>
          <w:szCs w:val="24"/>
          <w:lang w:eastAsia="pl-PL"/>
        </w:rPr>
        <w:t>grupa 6. - 1,08</w:t>
      </w:r>
      <w:r w:rsidR="00D71A25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14:paraId="6165E671" w14:textId="3D99117F" w:rsidR="00F646AE" w:rsidRPr="00F646AE" w:rsidRDefault="00D71A25" w:rsidP="00F646AE">
      <w:pPr>
        <w:spacing w:after="4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Ponadto w </w:t>
      </w:r>
      <w:r w:rsidRPr="00D71A25">
        <w:rPr>
          <w:rFonts w:ascii="Calibri" w:hAnsi="Calibri" w:cs="Calibri"/>
          <w:sz w:val="24"/>
          <w:szCs w:val="24"/>
        </w:rPr>
        <w:t>ministerstwie trwają prace nad wypracowaniem standardów dla uznawania danych kwalifikacji pielęgniarskich,</w:t>
      </w:r>
      <w:r>
        <w:rPr>
          <w:rFonts w:ascii="Calibri" w:hAnsi="Calibri" w:cs="Calibri"/>
          <w:sz w:val="24"/>
          <w:szCs w:val="24"/>
        </w:rPr>
        <w:t xml:space="preserve"> które </w:t>
      </w:r>
      <w:r>
        <w:rPr>
          <w:rFonts w:ascii="Calibri" w:hAnsi="Calibri" w:cs="Calibri"/>
          <w:sz w:val="24"/>
          <w:szCs w:val="24"/>
        </w:rPr>
        <w:lastRenderedPageBreak/>
        <w:t>miałaby ułatwi</w:t>
      </w:r>
      <w:r w:rsidR="003D778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ć </w:t>
      </w:r>
      <w:r w:rsidRPr="00D71A25">
        <w:rPr>
          <w:rFonts w:ascii="Calibri" w:hAnsi="Calibri" w:cs="Calibri"/>
          <w:sz w:val="24"/>
          <w:szCs w:val="24"/>
        </w:rPr>
        <w:t>dyrektorom szpitali</w:t>
      </w:r>
      <w:r>
        <w:rPr>
          <w:rFonts w:ascii="Calibri" w:hAnsi="Calibri" w:cs="Calibri"/>
          <w:sz w:val="24"/>
          <w:szCs w:val="24"/>
        </w:rPr>
        <w:t xml:space="preserve"> podejmowanie decyzji o </w:t>
      </w:r>
      <w:r w:rsidRPr="00D71A25">
        <w:rPr>
          <w:rFonts w:ascii="Calibri" w:hAnsi="Calibri" w:cs="Calibri"/>
          <w:sz w:val="24"/>
          <w:szCs w:val="24"/>
        </w:rPr>
        <w:t>zaklasyfikowa</w:t>
      </w:r>
      <w:r>
        <w:rPr>
          <w:rFonts w:ascii="Calibri" w:hAnsi="Calibri" w:cs="Calibri"/>
          <w:sz w:val="24"/>
          <w:szCs w:val="24"/>
        </w:rPr>
        <w:t>niu personelu</w:t>
      </w:r>
      <w:r w:rsidRPr="00D71A25">
        <w:rPr>
          <w:rFonts w:ascii="Calibri" w:hAnsi="Calibri" w:cs="Calibri"/>
          <w:sz w:val="24"/>
          <w:szCs w:val="24"/>
        </w:rPr>
        <w:t xml:space="preserve"> na dane stanowisko pracy.</w:t>
      </w:r>
    </w:p>
    <w:p w14:paraId="330C6620" w14:textId="77777777" w:rsidR="00F646AE" w:rsidRDefault="00F646AE" w:rsidP="005B684D">
      <w:pPr>
        <w:spacing w:after="480"/>
        <w:jc w:val="both"/>
        <w:rPr>
          <w:rFonts w:asciiTheme="minorHAnsi" w:hAnsiTheme="minorHAnsi" w:cstheme="minorHAnsi"/>
          <w:sz w:val="24"/>
          <w:szCs w:val="24"/>
        </w:rPr>
      </w:pPr>
    </w:p>
    <w:p w14:paraId="13BA0FB9" w14:textId="71637F76" w:rsidR="005B684D" w:rsidRPr="007C0BB3" w:rsidRDefault="005B684D" w:rsidP="005B684D">
      <w:pPr>
        <w:spacing w:after="480"/>
        <w:jc w:val="both"/>
        <w:rPr>
          <w:rFonts w:asciiTheme="minorHAnsi" w:hAnsiTheme="minorHAnsi" w:cstheme="minorHAnsi"/>
          <w:sz w:val="24"/>
          <w:szCs w:val="24"/>
        </w:rPr>
        <w:sectPr w:rsidR="005B684D" w:rsidRPr="007C0BB3" w:rsidSect="005B684D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</w:p>
    <w:p w14:paraId="63F9D5B7" w14:textId="68B5B157" w:rsidR="005B684D" w:rsidRPr="007C0BB3" w:rsidRDefault="005B684D" w:rsidP="005B684D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7C0BB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lastRenderedPageBreak/>
        <w:t xml:space="preserve">Tabela </w:t>
      </w:r>
      <w:r w:rsidRPr="007C0BB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Pr="007C0BB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Pr="007C0BB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1</w:t>
      </w:r>
      <w:r w:rsidRPr="007C0BB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end"/>
      </w:r>
      <w:r w:rsidRPr="007C0BB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 Najniższe wynagrodzenia zasadnicze od 1 lipca 202</w:t>
      </w:r>
      <w:r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4</w:t>
      </w:r>
      <w:r w:rsidRPr="007C0BB3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r.</w:t>
      </w:r>
    </w:p>
    <w:tbl>
      <w:tblPr>
        <w:tblW w:w="14968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. Najniższe wynagrodzenia zasadnicze od 1 lipca 2024 r."/>
        <w:tblDescription w:val="Tabela zawiera: liczbę porządkową, grupy zawodowe według kwalifikacji wymaganych na zajmowanym stanowisku, współczynnik pracy, najniższe wynagrodzenie zasadnicze od 1 lipca 2023 r. w złotówkach, najniższe wynagrodzenie zasadnicze od 1 lipca 2024 r. w złotówkach, kwota wzrostu wynagrodzenia"/>
      </w:tblPr>
      <w:tblGrid>
        <w:gridCol w:w="425"/>
        <w:gridCol w:w="8080"/>
        <w:gridCol w:w="1401"/>
        <w:gridCol w:w="1769"/>
        <w:gridCol w:w="1760"/>
        <w:gridCol w:w="1533"/>
      </w:tblGrid>
      <w:tr w:rsidR="005B684D" w:rsidRPr="007C0BB3" w14:paraId="6261FCCD" w14:textId="77777777" w:rsidTr="0012347C">
        <w:trPr>
          <w:trHeight w:val="1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BF73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Lp. 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5CD1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Grupy zawodowe według kwalifikacji wymaganych na zajmowanym stanowisku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6A70D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Współczynnik pracy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38880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Najniższe wynagrodzenie zasadnicze </w:t>
            </w: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od 1 lipca 2023 r.</w:t>
            </w: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 xml:space="preserve"> [zł]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43C2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 xml:space="preserve">Najniższe wynagrodzenie zasadnicze </w:t>
            </w: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 xml:space="preserve">od 1 lipca 2024 r. </w:t>
            </w: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br/>
              <w:t>[zł]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C3839" w14:textId="77777777" w:rsidR="005B684D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Kwota wzrostu wynagrodzenia</w:t>
            </w:r>
          </w:p>
          <w:p w14:paraId="7D55DF3C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pl-PL"/>
              </w:rPr>
              <w:t>[zł]</w:t>
            </w:r>
          </w:p>
        </w:tc>
      </w:tr>
      <w:tr w:rsidR="005B684D" w:rsidRPr="007C0BB3" w14:paraId="39F02EDE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35FD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0BDF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Lekarz albo lekarz dentysta ze specjalizacją 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1F22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1,45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B533D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9 201,92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169D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10 375,45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9115B81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1 173,53</w:t>
            </w:r>
          </w:p>
        </w:tc>
      </w:tr>
      <w:tr w:rsidR="005B684D" w:rsidRPr="007C0BB3" w14:paraId="6428AACD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CDAB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8FCD9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Farmaceuta, fizjoterapeuta, diagnosta laboratoryjny, psycholog kliniczny, inny pracownik wykonujący zawód medyczny inny niż określony w lp. 1, 3 i 4 z wymaganym wyższym wykształceniem na poziomie magisterskim i specjalizacją, pielęgniarka z tytułem zawodowym magister pielęgniarstwa albo położna z tytułem magister położnictwa z wymaganą specjalizacją w dziedzinie pielęgniarstwa lub w dziedzinie mającej zastosowanie w ochro-nie zdrowia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907F7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1,29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387BD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8 186,53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B44EA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9 230,57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F6F8406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1 044,04</w:t>
            </w:r>
          </w:p>
        </w:tc>
      </w:tr>
      <w:tr w:rsidR="005B684D" w:rsidRPr="007C0BB3" w14:paraId="6318B77A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D6566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3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B53F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Lekarz albo lekarz dentysta, bez specjalizacji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1EC3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1,19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5CF79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7 551,92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50403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8 515,02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3F7C3A0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963,10</w:t>
            </w:r>
          </w:p>
        </w:tc>
      </w:tr>
      <w:tr w:rsidR="005B684D" w:rsidRPr="007C0BB3" w14:paraId="19723AD4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A1CE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4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3378D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Stażysta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DC4A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0,95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DC1F9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6 028,84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7450C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6 797,71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500C429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768,86</w:t>
            </w:r>
          </w:p>
        </w:tc>
      </w:tr>
      <w:tr w:rsidR="005B684D" w:rsidRPr="007C0BB3" w14:paraId="52990E43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9A00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5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BDAAD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Farmaceuta, fizjoterapeuta, diagnosta laboratoryjny, pielęgniarka, położna, technik elektro-radiolog, psycholog, inny pracownik wykonujący zawód medyczny inny niż określony w lp. 1−4 z wymaganym wyższym wykształceniem na poziomie magisterskim; pielęgniarka, położna z wymaganym wyższym wykształceniem (studia I stopnia) i specjalizacją, albo pielęgniarka, położna ze średnim wykształceniem i specjalizacją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0EF2D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1,02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43A08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6 473,07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336F3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7 298,59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99FCD71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825,52</w:t>
            </w:r>
          </w:p>
        </w:tc>
      </w:tr>
      <w:tr w:rsidR="005B684D" w:rsidRPr="007C0BB3" w14:paraId="5CAA68F6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129B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6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79E39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Fizjoterapeuta, pielęgniarka, położna, ratownik medyczny, technik elektroradiolog, inny pracownik wykonujący zawód medyczny inny niż określony w lp. 1–5 z wymaganym wyższym wykształceniem na poziomie studiów I stopnia; fizjoterapeuta, ratownik medyczny, technik analityki medycznej, technik elektroradiolog z wymaganym średnim wykształceniem albo pielęgniarka albo położna z wymaganym średnim wykształceniem, która nie posiada tytułu specjalisty w dziedzinie pielęgniarstwa lub dziedzinie mającej zastosowanie w ochro-nie zdrowia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C959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0,94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3099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5 965,38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528C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6 726,15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AEE8D2A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760,77</w:t>
            </w:r>
          </w:p>
        </w:tc>
      </w:tr>
      <w:tr w:rsidR="005B684D" w:rsidRPr="007C0BB3" w14:paraId="18548E4F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8401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7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DDA7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Inny pracownik wykonujący zawód medyczny inny niż określony w lp. 1–6 z wymaganym średnim wykształceniem oraz opiekun medyczny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9077D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0,86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12C9D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5 457,69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95396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6 153,71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AA85F16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696,02</w:t>
            </w:r>
          </w:p>
        </w:tc>
      </w:tr>
      <w:tr w:rsidR="005B684D" w:rsidRPr="007C0BB3" w14:paraId="3B6F7A78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32D4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8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EFD2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Pracownik działalności podstawowej, inny niż pracownik wykonujący zawód medyczny z wymaganym wykształceniem wyższym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3080F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8E6D6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6 346,15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9335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7 155,48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8882E93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809,33</w:t>
            </w:r>
          </w:p>
        </w:tc>
      </w:tr>
      <w:tr w:rsidR="005B684D" w:rsidRPr="007C0BB3" w14:paraId="1F4614C4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A28DB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9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E3C8B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Pracownik działalności podstawowej, inny niż pracownik wykonujący zawód medyczny z wymaganym wykształceniem średnim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551F3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0,78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5AC9E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4 950,00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C2554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5 581,27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0B0F225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631,28</w:t>
            </w:r>
          </w:p>
        </w:tc>
      </w:tr>
      <w:tr w:rsidR="005B684D" w:rsidRPr="007C0BB3" w14:paraId="36F2AC3B" w14:textId="77777777" w:rsidTr="0012347C">
        <w:trPr>
          <w:trHeight w:val="1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3D5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10</w:t>
            </w: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F34C" w14:textId="77777777" w:rsidR="005B684D" w:rsidRPr="007C0BB3" w:rsidRDefault="005B684D" w:rsidP="0012347C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 xml:space="preserve">Pracownik działalności podstawowej, inny niż pracownik wykonujący zawód medyczny z wymaganym wykształceniem poniżej średniego 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D95C3" w14:textId="77777777" w:rsidR="005B684D" w:rsidRPr="007C0BB3" w:rsidRDefault="005B684D" w:rsidP="0012347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0,65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703BA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4 125,00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6BEA7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color w:val="000000"/>
              </w:rPr>
              <w:t>4 651,06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08CDC79" w14:textId="77777777" w:rsidR="005B684D" w:rsidRPr="007C0BB3" w:rsidRDefault="005B684D" w:rsidP="0012347C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7C0BB3">
              <w:rPr>
                <w:rFonts w:asciiTheme="minorHAnsi" w:hAnsiTheme="minorHAnsi" w:cstheme="minorHAnsi"/>
                <w:b/>
                <w:bCs/>
                <w:color w:val="000000"/>
              </w:rPr>
              <w:t>526,06</w:t>
            </w:r>
          </w:p>
        </w:tc>
      </w:tr>
    </w:tbl>
    <w:p w14:paraId="16C61599" w14:textId="77777777" w:rsidR="005B684D" w:rsidRPr="007C0BB3" w:rsidRDefault="005B684D" w:rsidP="005B684D">
      <w:pPr>
        <w:spacing w:before="120" w:after="0"/>
        <w:jc w:val="both"/>
        <w:rPr>
          <w:rFonts w:asciiTheme="minorHAnsi" w:hAnsiTheme="minorHAnsi" w:cstheme="minorHAnsi"/>
        </w:rPr>
        <w:sectPr w:rsidR="005B684D" w:rsidRPr="007C0BB3" w:rsidSect="005B684D">
          <w:pgSz w:w="16838" w:h="11906" w:orient="landscape"/>
          <w:pgMar w:top="851" w:right="1417" w:bottom="709" w:left="1417" w:header="708" w:footer="708" w:gutter="0"/>
          <w:cols w:space="708"/>
          <w:docGrid w:linePitch="360"/>
        </w:sectPr>
      </w:pPr>
      <w:r w:rsidRPr="007C0BB3">
        <w:rPr>
          <w:rFonts w:asciiTheme="minorHAnsi" w:hAnsiTheme="minorHAnsi" w:cstheme="minorHAnsi"/>
        </w:rPr>
        <w:t>Źródło: opracowanie własne</w:t>
      </w:r>
    </w:p>
    <w:p w14:paraId="46874234" w14:textId="77777777" w:rsidR="0095084D" w:rsidRPr="006A2250" w:rsidRDefault="0095084D" w:rsidP="0095084D">
      <w:pPr>
        <w:pStyle w:val="Nagwek3"/>
        <w:spacing w:before="120"/>
      </w:pPr>
      <w:r w:rsidRPr="006A2250">
        <w:lastRenderedPageBreak/>
        <w:t>Rewizja Krajowego Planu Odbudowy i Zwiększania Odporności (KPO) w obszarze ochrony zdrowia</w:t>
      </w:r>
    </w:p>
    <w:p w14:paraId="4E039656" w14:textId="77777777" w:rsidR="0095084D" w:rsidRPr="0085494F" w:rsidRDefault="0095084D" w:rsidP="0095084D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t xml:space="preserve">W wyniku przeprowadzonego na początku 2024 roku przeglądu stanu realizacji reform i inwestycji KPO zidentyfikowana została konieczność przeprowadzenia rewizji KPO. Rewizją 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>zostało objętych 11 z 55 reform (8 z części grantowej i 3 z części pożyczkowej)</w:t>
      </w:r>
      <w:r w:rsidRPr="0085494F">
        <w:rPr>
          <w:rFonts w:asciiTheme="minorHAnsi" w:hAnsiTheme="minorHAnsi" w:cstheme="minorHAnsi"/>
          <w:sz w:val="24"/>
          <w:szCs w:val="24"/>
        </w:rPr>
        <w:t xml:space="preserve"> 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 xml:space="preserve">oraz 22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 xml:space="preserve">z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 xml:space="preserve">56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>inwestycji (14 z części grantowej i 8 z części pożyczkowej KPO).</w:t>
      </w:r>
    </w:p>
    <w:p w14:paraId="7AAB4C16" w14:textId="77777777" w:rsidR="0095084D" w:rsidRPr="0085494F" w:rsidRDefault="0095084D" w:rsidP="0095084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t xml:space="preserve">W dniach od 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>15 marca do 15 kwietnia 2024 r. prowadzone były konsultacje publiczne.</w:t>
      </w:r>
      <w:r w:rsidRPr="0085494F">
        <w:rPr>
          <w:rFonts w:asciiTheme="minorHAnsi" w:hAnsiTheme="minorHAnsi" w:cstheme="minorHAnsi"/>
          <w:sz w:val="24"/>
          <w:szCs w:val="24"/>
        </w:rPr>
        <w:t xml:space="preserve"> 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 xml:space="preserve">Podsumowaniem procesu konsultacji będzie III posiedzenie KM KPO planowane na 18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 xml:space="preserve">kwietnia 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2024 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 xml:space="preserve">r. Po zatwierdzeniu przez Radę Ministrów planowanych zmian w KPO, formalny wniosek o rewizję zostanie przekazany do Komisji Europejskiej (KE) do końca kwietnia. Ocena KE potrwa 2 miesiące, co oznacza, że powinna zakończyć się do końca czerwca. Procedowanie rewizji w ww. terminach umożliwi wysłanie do KE 2 i 3 wniosku o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 xml:space="preserve">płatność dla KPO w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 xml:space="preserve">sierpniu </w:t>
      </w:r>
      <w:r>
        <w:rPr>
          <w:rFonts w:asciiTheme="minorHAnsi" w:hAnsiTheme="minorHAnsi" w:cstheme="minorHAnsi"/>
          <w:color w:val="000000"/>
          <w:sz w:val="24"/>
          <w:szCs w:val="24"/>
        </w:rPr>
        <w:t> 2024 </w:t>
      </w:r>
      <w:r w:rsidRPr="0085494F">
        <w:rPr>
          <w:rFonts w:asciiTheme="minorHAnsi" w:hAnsiTheme="minorHAnsi" w:cstheme="minorHAnsi"/>
          <w:color w:val="000000"/>
          <w:sz w:val="24"/>
          <w:szCs w:val="24"/>
        </w:rPr>
        <w:t>r.</w:t>
      </w:r>
    </w:p>
    <w:p w14:paraId="1892E8F2" w14:textId="77777777" w:rsidR="0095084D" w:rsidRPr="0085494F" w:rsidRDefault="0095084D" w:rsidP="0095084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lastRenderedPageBreak/>
        <w:t>W ramach rewizji Krajowego Planu Odbudowy w obszarze ochrony zdrowia kamień milowy podzielono na trzy niezależne części, tj.:</w:t>
      </w:r>
    </w:p>
    <w:p w14:paraId="56FF569E" w14:textId="77777777" w:rsidR="0095084D" w:rsidRPr="0085494F" w:rsidRDefault="0095084D" w:rsidP="0095084D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t>Krajową Sieć Onkologiczną,</w:t>
      </w:r>
    </w:p>
    <w:p w14:paraId="1CAAC8E9" w14:textId="77777777" w:rsidR="0095084D" w:rsidRPr="0085494F" w:rsidRDefault="0095084D" w:rsidP="0095084D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t>Krajową Sieć Kardiologiczną,</w:t>
      </w:r>
    </w:p>
    <w:p w14:paraId="5EEA607E" w14:textId="77777777" w:rsidR="0095084D" w:rsidRPr="0085494F" w:rsidRDefault="0095084D" w:rsidP="0095084D">
      <w:pPr>
        <w:pStyle w:val="Akapitzlist"/>
        <w:numPr>
          <w:ilvl w:val="0"/>
          <w:numId w:val="17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t>obszar dotyczący modernizacji i poprawy efektywności szpitali.</w:t>
      </w:r>
    </w:p>
    <w:p w14:paraId="6084B769" w14:textId="77777777" w:rsidR="0095084D" w:rsidRPr="0085494F" w:rsidRDefault="0095084D" w:rsidP="0095084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t>Najważniejsze zmiany w obszarze ochrony zdrowia</w:t>
      </w:r>
      <w:r w:rsidRPr="0085494F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0"/>
      </w:r>
      <w:r w:rsidRPr="0085494F">
        <w:rPr>
          <w:rFonts w:asciiTheme="minorHAnsi" w:hAnsiTheme="minorHAnsi" w:cstheme="minorHAnsi"/>
          <w:sz w:val="24"/>
          <w:szCs w:val="24"/>
        </w:rPr>
        <w:t>:</w:t>
      </w:r>
    </w:p>
    <w:p w14:paraId="5E7D17BA" w14:textId="77777777" w:rsidR="0095084D" w:rsidRPr="0085494F" w:rsidRDefault="0095084D" w:rsidP="0095084D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t>pakiet legislacyjny mający na celu modernizację i poprawę efektywności szpitali – odejście od kategoryzacji szpitali; nowe zasady kwalifikacji do sieci szpitali poprzez zmianę zasad kwalifikacji szpitali do sieci w oparciu o spełnienie kryteriów przez poszczególne oddziały szpitalne (a nie całe szpitale, jak obecnie) – planowany termin realizacji do końca IV kwartału 2024 r.;</w:t>
      </w:r>
    </w:p>
    <w:p w14:paraId="00041995" w14:textId="77777777" w:rsidR="0095084D" w:rsidRPr="0085494F" w:rsidRDefault="0095084D" w:rsidP="0095084D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lastRenderedPageBreak/>
        <w:t>wejście w życie aktu prawnego w sprawie wykazu dokładnych kryteriów kwalifikujących szpitale do poszczególnych poziomów zabezpieczenia opieki onkologicznej Krajowej Sieci Onkologicznej – termin realizacji: II kw. 2024r.;</w:t>
      </w:r>
    </w:p>
    <w:p w14:paraId="385628E5" w14:textId="77777777" w:rsidR="0095084D" w:rsidRPr="0085494F" w:rsidRDefault="0095084D" w:rsidP="0095084D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85494F">
        <w:rPr>
          <w:rFonts w:asciiTheme="minorHAnsi" w:hAnsiTheme="minorHAnsi" w:cstheme="minorHAnsi"/>
          <w:sz w:val="24"/>
          <w:szCs w:val="24"/>
        </w:rPr>
        <w:t>wejście w życie ustawy o Krajowej Sieci Kardiologicznej określającej zasady funkcjonowania sieci poprzez wprowadzenie nowej struktury i nowego modelu zarządzania opieką kardiologiczną w Polsce – termin realizacji: IV  kw. 2024 r.;</w:t>
      </w:r>
    </w:p>
    <w:p w14:paraId="5C6BA2C5" w14:textId="77777777" w:rsidR="0095084D" w:rsidRPr="0095084D" w:rsidRDefault="0095084D" w:rsidP="0095084D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5084D">
        <w:rPr>
          <w:rFonts w:asciiTheme="minorHAnsi" w:hAnsiTheme="minorHAnsi" w:cstheme="minorHAnsi"/>
          <w:b/>
          <w:bCs/>
          <w:sz w:val="24"/>
          <w:szCs w:val="24"/>
        </w:rPr>
        <w:t>umożliwienie tworzenia i prowadzenia podmiotów leczniczych przez związki jednostek samorządu terytorialnego;</w:t>
      </w:r>
    </w:p>
    <w:p w14:paraId="28505581" w14:textId="77777777" w:rsidR="0095084D" w:rsidRDefault="0095084D" w:rsidP="0095084D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728F2">
        <w:rPr>
          <w:rFonts w:asciiTheme="minorHAnsi" w:hAnsiTheme="minorHAnsi" w:cstheme="minorHAnsi"/>
          <w:sz w:val="24"/>
          <w:szCs w:val="24"/>
        </w:rPr>
        <w:t xml:space="preserve">wydanie na podstawie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C728F2">
        <w:rPr>
          <w:rFonts w:asciiTheme="minorHAnsi" w:hAnsiTheme="minorHAnsi" w:cstheme="minorHAnsi"/>
          <w:sz w:val="24"/>
          <w:szCs w:val="24"/>
        </w:rPr>
        <w:t>stawy o jakości w opiece zdrowotnej i bezpieczeństwie pacjenta rozporządzenia w sprawie wskaźników jakości opieki zdrowotnej (wskaźniki obszaru klinicznego, konsumenckiego i zarządczego);</w:t>
      </w:r>
    </w:p>
    <w:p w14:paraId="2CED0BF5" w14:textId="77777777" w:rsidR="0095084D" w:rsidRPr="0085494F" w:rsidRDefault="0095084D" w:rsidP="0095084D">
      <w:pPr>
        <w:pStyle w:val="Akapitzlist"/>
        <w:numPr>
          <w:ilvl w:val="0"/>
          <w:numId w:val="1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C728F2">
        <w:rPr>
          <w:rFonts w:asciiTheme="minorHAnsi" w:hAnsiTheme="minorHAnsi" w:cstheme="minorHAnsi"/>
          <w:sz w:val="24"/>
          <w:szCs w:val="24"/>
        </w:rPr>
        <w:t xml:space="preserve">w III kwartale </w:t>
      </w:r>
      <w:r>
        <w:rPr>
          <w:rFonts w:asciiTheme="minorHAnsi" w:hAnsiTheme="minorHAnsi" w:cstheme="minorHAnsi"/>
          <w:sz w:val="24"/>
          <w:szCs w:val="24"/>
        </w:rPr>
        <w:t>2024</w:t>
      </w:r>
      <w:r w:rsidRPr="00C728F2">
        <w:rPr>
          <w:rFonts w:asciiTheme="minorHAnsi" w:hAnsiTheme="minorHAnsi" w:cstheme="minorHAnsi"/>
          <w:sz w:val="24"/>
          <w:szCs w:val="24"/>
        </w:rPr>
        <w:t xml:space="preserve"> roku ma zostać uruchomiony pierwszy nabór wniosków dla szpitali na zakup lub modernizację sprzętu i infrastruktury.</w:t>
      </w:r>
    </w:p>
    <w:p w14:paraId="1CF08488" w14:textId="77777777" w:rsidR="0095084D" w:rsidRPr="0085494F" w:rsidRDefault="0095084D" w:rsidP="0095084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B38B5">
        <w:rPr>
          <w:rFonts w:asciiTheme="minorHAnsi" w:hAnsiTheme="minorHAnsi" w:cstheme="minorHAnsi"/>
          <w:sz w:val="24"/>
          <w:szCs w:val="24"/>
        </w:rPr>
        <w:lastRenderedPageBreak/>
        <w:t>W ramach prowadzonych konsultacji zostały zgłoszone przez Urząd Marszałkowski poniższe</w:t>
      </w:r>
      <w:r>
        <w:rPr>
          <w:rFonts w:asciiTheme="minorHAnsi" w:hAnsiTheme="minorHAnsi" w:cstheme="minorHAnsi"/>
          <w:sz w:val="24"/>
          <w:szCs w:val="24"/>
        </w:rPr>
        <w:t xml:space="preserve"> uwagi do obszaru ochrony zdrowia:</w:t>
      </w:r>
    </w:p>
    <w:p w14:paraId="521916AB" w14:textId="77777777" w:rsidR="0095084D" w:rsidRDefault="0095084D" w:rsidP="0095084D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Pr="00D71A25">
        <w:rPr>
          <w:rFonts w:asciiTheme="minorHAnsi" w:hAnsiTheme="minorHAnsi" w:cstheme="minorHAnsi"/>
          <w:sz w:val="24"/>
          <w:szCs w:val="24"/>
        </w:rPr>
        <w:t>ydłużenie terminu realizacji projektów strategicznych, których fiszki zgłaszane były na etapie tworzenia KPO - realizowane w trybie pozakonkursowym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27877FFB" w14:textId="77777777" w:rsidR="0095084D" w:rsidRDefault="0095084D" w:rsidP="0095084D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Pr="00D71A25">
        <w:rPr>
          <w:rFonts w:asciiTheme="minorHAnsi" w:hAnsiTheme="minorHAnsi" w:cstheme="minorHAnsi"/>
          <w:sz w:val="24"/>
          <w:szCs w:val="24"/>
        </w:rPr>
        <w:t>dstąpienie od wymogu zakończenia realizacji inwestycji</w:t>
      </w:r>
      <w:r>
        <w:rPr>
          <w:rFonts w:asciiTheme="minorHAnsi" w:hAnsiTheme="minorHAnsi" w:cstheme="minorHAnsi"/>
          <w:sz w:val="24"/>
          <w:szCs w:val="24"/>
        </w:rPr>
        <w:t xml:space="preserve"> - z</w:t>
      </w:r>
      <w:r w:rsidRPr="00D71A25">
        <w:rPr>
          <w:rFonts w:asciiTheme="minorHAnsi" w:hAnsiTheme="minorHAnsi" w:cstheme="minorHAnsi"/>
          <w:sz w:val="24"/>
          <w:szCs w:val="24"/>
        </w:rPr>
        <w:t>akres rzeczowy powinien być rozliczony proporcjonalnie do udzielonego dofinansowania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14457C34" w14:textId="77777777" w:rsidR="0095084D" w:rsidRPr="000B38B5" w:rsidRDefault="0095084D" w:rsidP="0095084D">
      <w:pPr>
        <w:pStyle w:val="Akapitzlist"/>
        <w:numPr>
          <w:ilvl w:val="0"/>
          <w:numId w:val="28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przypadku </w:t>
      </w:r>
      <w:r w:rsidRPr="00D71A25">
        <w:rPr>
          <w:rFonts w:asciiTheme="minorHAnsi" w:hAnsiTheme="minorHAnsi" w:cstheme="minorHAnsi"/>
          <w:sz w:val="24"/>
          <w:szCs w:val="24"/>
        </w:rPr>
        <w:t>pakietu legislacyjnego mającego na celu modernizację i poprawę efektywności szpitali oraz finansowanie inwestycji infrastruktury krytycznej</w:t>
      </w:r>
      <w:r>
        <w:rPr>
          <w:rFonts w:asciiTheme="minorHAnsi" w:hAnsiTheme="minorHAnsi" w:cstheme="minorHAnsi"/>
          <w:sz w:val="24"/>
          <w:szCs w:val="24"/>
        </w:rPr>
        <w:t xml:space="preserve"> uwzględnienie opinii </w:t>
      </w:r>
      <w:r w:rsidRPr="00D71A25">
        <w:rPr>
          <w:rFonts w:asciiTheme="minorHAnsi" w:hAnsiTheme="minorHAnsi" w:cstheme="minorHAnsi"/>
          <w:sz w:val="24"/>
          <w:szCs w:val="24"/>
        </w:rPr>
        <w:t xml:space="preserve">Dowództwa Operacyjnego Rodzajów Sił Zbrojnych (DO RSZ) </w:t>
      </w:r>
      <w:r>
        <w:rPr>
          <w:rFonts w:asciiTheme="minorHAnsi" w:hAnsiTheme="minorHAnsi" w:cstheme="minorHAnsi"/>
          <w:sz w:val="24"/>
          <w:szCs w:val="24"/>
        </w:rPr>
        <w:t xml:space="preserve">dotyczącej </w:t>
      </w:r>
      <w:r w:rsidRPr="00D71A25">
        <w:rPr>
          <w:rFonts w:asciiTheme="minorHAnsi" w:hAnsiTheme="minorHAnsi" w:cstheme="minorHAnsi"/>
          <w:sz w:val="24"/>
          <w:szCs w:val="24"/>
        </w:rPr>
        <w:t>parametr</w:t>
      </w:r>
      <w:r>
        <w:rPr>
          <w:rFonts w:asciiTheme="minorHAnsi" w:hAnsiTheme="minorHAnsi" w:cstheme="minorHAnsi"/>
          <w:sz w:val="24"/>
          <w:szCs w:val="24"/>
        </w:rPr>
        <w:t>ów</w:t>
      </w:r>
      <w:r w:rsidRPr="00D71A25">
        <w:rPr>
          <w:rFonts w:asciiTheme="minorHAnsi" w:hAnsiTheme="minorHAnsi" w:cstheme="minorHAnsi"/>
          <w:sz w:val="24"/>
          <w:szCs w:val="24"/>
        </w:rPr>
        <w:t xml:space="preserve"> techniczny</w:t>
      </w:r>
      <w:r>
        <w:rPr>
          <w:rFonts w:asciiTheme="minorHAnsi" w:hAnsiTheme="minorHAnsi" w:cstheme="minorHAnsi"/>
          <w:sz w:val="24"/>
          <w:szCs w:val="24"/>
        </w:rPr>
        <w:t>ch</w:t>
      </w:r>
      <w:r w:rsidRPr="00D71A25">
        <w:rPr>
          <w:rFonts w:asciiTheme="minorHAnsi" w:hAnsiTheme="minorHAnsi" w:cstheme="minorHAnsi"/>
          <w:sz w:val="24"/>
          <w:szCs w:val="24"/>
        </w:rPr>
        <w:t xml:space="preserve"> nowoprojektowan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D71A25">
        <w:rPr>
          <w:rFonts w:asciiTheme="minorHAnsi" w:hAnsiTheme="minorHAnsi" w:cstheme="minorHAnsi"/>
          <w:sz w:val="24"/>
          <w:szCs w:val="24"/>
        </w:rPr>
        <w:t xml:space="preserve"> lub przebudowan</w:t>
      </w:r>
      <w:r>
        <w:rPr>
          <w:rFonts w:asciiTheme="minorHAnsi" w:hAnsiTheme="minorHAnsi" w:cstheme="minorHAnsi"/>
          <w:sz w:val="24"/>
          <w:szCs w:val="24"/>
        </w:rPr>
        <w:t>ych</w:t>
      </w:r>
      <w:r w:rsidRPr="00D71A25">
        <w:rPr>
          <w:rFonts w:asciiTheme="minorHAnsi" w:hAnsiTheme="minorHAnsi" w:cstheme="minorHAnsi"/>
          <w:sz w:val="24"/>
          <w:szCs w:val="24"/>
        </w:rPr>
        <w:t xml:space="preserve"> lądowisk</w:t>
      </w:r>
      <w:r>
        <w:rPr>
          <w:rFonts w:asciiTheme="minorHAnsi" w:hAnsiTheme="minorHAnsi" w:cstheme="minorHAnsi"/>
          <w:sz w:val="24"/>
          <w:szCs w:val="24"/>
        </w:rPr>
        <w:t xml:space="preserve"> – </w:t>
      </w:r>
      <w:r w:rsidRPr="00D71A25">
        <w:rPr>
          <w:rFonts w:asciiTheme="minorHAnsi" w:hAnsiTheme="minorHAnsi" w:cstheme="minorHAnsi"/>
          <w:sz w:val="24"/>
          <w:szCs w:val="24"/>
        </w:rPr>
        <w:t>zgodne z prawem powinny umożliwiać bezpieczne lądowanie i starty śmigłowców służby ASAR, śmigłowców Sił Zbrojnych RP oraz sił NATO realizujących misje MEDEVAC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2E8ED5E" w14:textId="77777777" w:rsidR="0095084D" w:rsidRPr="00135B98" w:rsidRDefault="0095084D" w:rsidP="0095084D">
      <w:pPr>
        <w:pStyle w:val="Nagwek3"/>
      </w:pPr>
      <w:r w:rsidRPr="00135B98">
        <w:lastRenderedPageBreak/>
        <w:t xml:space="preserve">Fundusz </w:t>
      </w:r>
      <w:r>
        <w:t>M</w:t>
      </w:r>
      <w:r w:rsidRPr="00DE4AD5">
        <w:t>edyczny</w:t>
      </w:r>
    </w:p>
    <w:p w14:paraId="3CE6E2A0" w14:textId="29CBB236" w:rsidR="0095084D" w:rsidRPr="00D16CF0" w:rsidRDefault="0095084D" w:rsidP="0095084D">
      <w:pPr>
        <w:spacing w:after="12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  <w:r w:rsidRPr="00D16CF0">
        <w:rPr>
          <w:rFonts w:asciiTheme="minorHAnsi" w:hAnsiTheme="minorHAnsi" w:cstheme="minorHAnsi"/>
          <w:sz w:val="24"/>
          <w:szCs w:val="24"/>
        </w:rPr>
        <w:t xml:space="preserve">Fundusz Medyczny to mechanizm finansowy ustanowiony na mocy ustawy z 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16CF0">
        <w:rPr>
          <w:rFonts w:asciiTheme="minorHAnsi" w:hAnsiTheme="minorHAnsi" w:cstheme="minorHAnsi"/>
          <w:sz w:val="24"/>
          <w:szCs w:val="24"/>
        </w:rPr>
        <w:t xml:space="preserve">dnia 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D16CF0">
        <w:rPr>
          <w:rFonts w:asciiTheme="minorHAnsi" w:hAnsiTheme="minorHAnsi" w:cstheme="minorHAnsi"/>
          <w:sz w:val="24"/>
          <w:szCs w:val="24"/>
        </w:rPr>
        <w:t>7  października 2020 r. o Funduszu Medycznym (Dz. U. z 2020 r., poz. 1875 z późn. zm.), który powstał z inicjatywy Prezydenta RP, we współpracy z Ministrem Zdrowia.</w:t>
      </w:r>
    </w:p>
    <w:p w14:paraId="0090E5CE" w14:textId="77777777" w:rsidR="0095084D" w:rsidRPr="00D16CF0" w:rsidRDefault="0095084D" w:rsidP="0095084D">
      <w:p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6C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Celem Funduszu jest wsparcie działań zmierzających do poprawy zdrowia i jakości życia w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D16CF0">
        <w:rPr>
          <w:rFonts w:asciiTheme="minorHAnsi" w:eastAsia="Times New Roman" w:hAnsiTheme="minorHAnsi" w:cstheme="minorHAnsi"/>
          <w:sz w:val="24"/>
          <w:szCs w:val="24"/>
          <w:lang w:eastAsia="pl-PL"/>
        </w:rPr>
        <w:t>Rzeczypospolitej Polskiej przez zapewnienie dodatkowych źródeł finansowania:</w:t>
      </w:r>
    </w:p>
    <w:p w14:paraId="51CCB380" w14:textId="77777777" w:rsidR="0095084D" w:rsidRPr="00D16CF0" w:rsidRDefault="0095084D" w:rsidP="0095084D">
      <w:pPr>
        <w:numPr>
          <w:ilvl w:val="0"/>
          <w:numId w:val="14"/>
        </w:numPr>
        <w:spacing w:after="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6CF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profilaktyki, wczesnego wykrywania, diagnostyki i leczenia chorób cywilizacyjnych, w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 </w:t>
      </w:r>
      <w:r w:rsidRPr="00D16CF0">
        <w:rPr>
          <w:rFonts w:asciiTheme="minorHAnsi" w:eastAsia="Times New Roman" w:hAnsiTheme="minorHAnsi" w:cstheme="minorHAnsi"/>
          <w:sz w:val="24"/>
          <w:szCs w:val="24"/>
          <w:lang w:eastAsia="pl-PL"/>
        </w:rPr>
        <w:t>tym chorób nowotworowych, chorób zakaźnych i chorób rzadkich;</w:t>
      </w:r>
    </w:p>
    <w:p w14:paraId="350F2106" w14:textId="77777777" w:rsidR="0095084D" w:rsidRPr="00D16CF0" w:rsidRDefault="0095084D" w:rsidP="0095084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6CF0">
        <w:rPr>
          <w:rFonts w:asciiTheme="minorHAnsi" w:eastAsia="Times New Roman" w:hAnsiTheme="minorHAnsi" w:cstheme="minorHAnsi"/>
          <w:sz w:val="24"/>
          <w:szCs w:val="24"/>
          <w:lang w:eastAsia="pl-PL"/>
        </w:rPr>
        <w:t>infrastruktury ochrony zdrowia wpływającej na jakość i dostępność oraz bezpieczeństwo udzielanych świadczeń opieki zdrowotnej;</w:t>
      </w:r>
    </w:p>
    <w:p w14:paraId="2072BB39" w14:textId="77777777" w:rsidR="0095084D" w:rsidRPr="00D16CF0" w:rsidRDefault="0095084D" w:rsidP="0095084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6CF0">
        <w:rPr>
          <w:rFonts w:asciiTheme="minorHAnsi" w:eastAsia="Times New Roman" w:hAnsiTheme="minorHAnsi" w:cstheme="minorHAnsi"/>
          <w:sz w:val="24"/>
          <w:szCs w:val="24"/>
          <w:lang w:eastAsia="pl-PL"/>
        </w:rPr>
        <w:t>dostępu do wysokiej jakości świadczeń opieki zdrowotnej;</w:t>
      </w:r>
    </w:p>
    <w:p w14:paraId="6C853D97" w14:textId="77777777" w:rsidR="0095084D" w:rsidRPr="00D16CF0" w:rsidRDefault="0095084D" w:rsidP="0095084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6CF0">
        <w:rPr>
          <w:rFonts w:asciiTheme="minorHAnsi" w:eastAsia="Times New Roman" w:hAnsiTheme="minorHAnsi" w:cstheme="minorHAnsi"/>
          <w:sz w:val="24"/>
          <w:szCs w:val="24"/>
          <w:lang w:eastAsia="pl-PL"/>
        </w:rPr>
        <w:t>rozwoju systemu opieki zdrowotnej przez koncentrację działań wokół pacjenta i jego potrzeb, ze szczególnym uwzględnieniem poprawy jakości życia pacjentów i ich rodzin;</w:t>
      </w:r>
    </w:p>
    <w:p w14:paraId="4E98B96C" w14:textId="77777777" w:rsidR="0095084D" w:rsidRPr="00D16CF0" w:rsidRDefault="0095084D" w:rsidP="0095084D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6CF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świadczeń opieki zdrowotnej udzielanych osobom do ukończenia 18 roku życia;</w:t>
      </w:r>
    </w:p>
    <w:p w14:paraId="540E4FE8" w14:textId="77777777" w:rsidR="0095084D" w:rsidRPr="00D16CF0" w:rsidRDefault="0095084D" w:rsidP="0095084D">
      <w:pPr>
        <w:numPr>
          <w:ilvl w:val="0"/>
          <w:numId w:val="14"/>
        </w:numPr>
        <w:spacing w:after="12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D16CF0">
        <w:rPr>
          <w:rFonts w:asciiTheme="minorHAnsi" w:eastAsia="Times New Roman" w:hAnsiTheme="minorHAnsi" w:cstheme="minorHAnsi"/>
          <w:sz w:val="24"/>
          <w:szCs w:val="24"/>
          <w:lang w:eastAsia="pl-PL"/>
        </w:rPr>
        <w:t>świadczeń opieki zdrowotnej udzielanych świadczeniobiorcom poza granicami kraju.</w:t>
      </w:r>
    </w:p>
    <w:p w14:paraId="441C51CB" w14:textId="77777777" w:rsidR="0095084D" w:rsidRPr="00D16CF0" w:rsidRDefault="0095084D" w:rsidP="0095084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16CF0">
        <w:rPr>
          <w:rFonts w:ascii="Calibri" w:hAnsi="Calibri" w:cs="Calibri"/>
          <w:sz w:val="24"/>
          <w:szCs w:val="24"/>
        </w:rPr>
        <w:t>W ramach Funduszu wyodrębnia się:</w:t>
      </w:r>
    </w:p>
    <w:p w14:paraId="0D7AC2C6" w14:textId="77777777" w:rsidR="0095084D" w:rsidRPr="00D16CF0" w:rsidRDefault="0095084D" w:rsidP="0095084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D16CF0">
        <w:rPr>
          <w:rFonts w:ascii="Calibri" w:hAnsi="Calibri" w:cs="Calibri"/>
          <w:sz w:val="24"/>
          <w:szCs w:val="24"/>
        </w:rPr>
        <w:t>subfundusz infrastruktury strategicznej;</w:t>
      </w:r>
    </w:p>
    <w:p w14:paraId="398EDA3B" w14:textId="77777777" w:rsidR="0095084D" w:rsidRPr="00D16CF0" w:rsidRDefault="0095084D" w:rsidP="0095084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D16CF0">
        <w:rPr>
          <w:rFonts w:ascii="Calibri" w:hAnsi="Calibri" w:cs="Calibri"/>
          <w:sz w:val="24"/>
          <w:szCs w:val="24"/>
        </w:rPr>
        <w:t>subfundusz modernizacji podmiotów leczniczych;</w:t>
      </w:r>
    </w:p>
    <w:p w14:paraId="3856DB08" w14:textId="77777777" w:rsidR="0095084D" w:rsidRPr="00D16CF0" w:rsidRDefault="0095084D" w:rsidP="0095084D">
      <w:pPr>
        <w:pStyle w:val="Akapitzlist"/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 w:rsidRPr="00D16CF0">
        <w:rPr>
          <w:rFonts w:ascii="Calibri" w:hAnsi="Calibri" w:cs="Calibri"/>
          <w:sz w:val="24"/>
          <w:szCs w:val="24"/>
        </w:rPr>
        <w:t>subfundusz rozwoju profilaktyki;</w:t>
      </w:r>
    </w:p>
    <w:p w14:paraId="771D9453" w14:textId="77777777" w:rsidR="0095084D" w:rsidRDefault="0095084D" w:rsidP="0095084D">
      <w:pPr>
        <w:pStyle w:val="Akapitzlist"/>
        <w:numPr>
          <w:ilvl w:val="0"/>
          <w:numId w:val="15"/>
        </w:numPr>
        <w:spacing w:after="120"/>
        <w:jc w:val="both"/>
        <w:rPr>
          <w:rFonts w:ascii="Calibri" w:hAnsi="Calibri" w:cs="Calibri"/>
          <w:sz w:val="24"/>
          <w:szCs w:val="24"/>
        </w:rPr>
      </w:pPr>
      <w:r w:rsidRPr="00D16CF0">
        <w:rPr>
          <w:rFonts w:ascii="Calibri" w:hAnsi="Calibri" w:cs="Calibri"/>
          <w:sz w:val="24"/>
          <w:szCs w:val="24"/>
        </w:rPr>
        <w:t>subfundusz terapeutyczno-innowacyjny.</w:t>
      </w:r>
    </w:p>
    <w:p w14:paraId="44D02CDD" w14:textId="77777777" w:rsidR="0095084D" w:rsidRDefault="0095084D" w:rsidP="0095084D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</w:t>
      </w:r>
      <w:r w:rsidRPr="00793C78">
        <w:rPr>
          <w:rFonts w:ascii="Calibri" w:hAnsi="Calibri" w:cs="Calibri"/>
          <w:sz w:val="24"/>
          <w:szCs w:val="24"/>
        </w:rPr>
        <w:t xml:space="preserve"> ramach subfunduszu modernizacji podmiotów leczniczych,</w:t>
      </w:r>
      <w:r>
        <w:rPr>
          <w:rFonts w:ascii="Calibri" w:hAnsi="Calibri" w:cs="Calibri"/>
          <w:sz w:val="24"/>
          <w:szCs w:val="24"/>
        </w:rPr>
        <w:t xml:space="preserve"> w sierpniu 2022 r. </w:t>
      </w:r>
      <w:r w:rsidRPr="00793C78">
        <w:rPr>
          <w:rFonts w:ascii="Calibri" w:hAnsi="Calibri" w:cs="Calibri"/>
          <w:sz w:val="24"/>
          <w:szCs w:val="24"/>
        </w:rPr>
        <w:t>Rada Ministrów ustan</w:t>
      </w:r>
      <w:r>
        <w:rPr>
          <w:rFonts w:ascii="Calibri" w:hAnsi="Calibri" w:cs="Calibri"/>
          <w:sz w:val="24"/>
          <w:szCs w:val="24"/>
        </w:rPr>
        <w:t>o</w:t>
      </w:r>
      <w:r w:rsidRPr="00793C78">
        <w:rPr>
          <w:rFonts w:ascii="Calibri" w:hAnsi="Calibri" w:cs="Calibri"/>
          <w:sz w:val="24"/>
          <w:szCs w:val="24"/>
        </w:rPr>
        <w:t>wi</w:t>
      </w:r>
      <w:r>
        <w:rPr>
          <w:rFonts w:ascii="Calibri" w:hAnsi="Calibri" w:cs="Calibri"/>
          <w:sz w:val="24"/>
          <w:szCs w:val="24"/>
        </w:rPr>
        <w:t>ła</w:t>
      </w:r>
      <w:r w:rsidRPr="00793C78">
        <w:rPr>
          <w:rFonts w:ascii="Calibri" w:hAnsi="Calibri" w:cs="Calibri"/>
          <w:sz w:val="24"/>
          <w:szCs w:val="24"/>
        </w:rPr>
        <w:t xml:space="preserve"> program inwestycyjny pod nazwą „Program inwestycyjny modernizacji podmiotów</w:t>
      </w:r>
      <w:r>
        <w:rPr>
          <w:rFonts w:ascii="Calibri" w:hAnsi="Calibri" w:cs="Calibri"/>
          <w:sz w:val="24"/>
          <w:szCs w:val="24"/>
        </w:rPr>
        <w:t xml:space="preserve"> </w:t>
      </w:r>
      <w:r w:rsidRPr="00793C78">
        <w:rPr>
          <w:rFonts w:ascii="Calibri" w:hAnsi="Calibri" w:cs="Calibri"/>
          <w:sz w:val="24"/>
          <w:szCs w:val="24"/>
        </w:rPr>
        <w:t>leczniczych”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1"/>
      </w:r>
      <w:r>
        <w:rPr>
          <w:rFonts w:ascii="Calibri" w:hAnsi="Calibri" w:cs="Calibri"/>
          <w:sz w:val="24"/>
          <w:szCs w:val="24"/>
        </w:rPr>
        <w:t xml:space="preserve">. Program będzie realizowany w latach 2022-2029, szacunkowy budżet wynosi 6 767 mld zł. Program obejmuje działania w obszarach: wsparcia rozwoju infrastruktury </w:t>
      </w:r>
      <w:r w:rsidRPr="00872CEC">
        <w:rPr>
          <w:rFonts w:asciiTheme="minorHAnsi" w:hAnsiTheme="minorHAnsi" w:cstheme="minorHAnsi"/>
          <w:sz w:val="24"/>
          <w:szCs w:val="24"/>
        </w:rPr>
        <w:t xml:space="preserve">świadczeń </w:t>
      </w:r>
      <w:r w:rsidRPr="00872CEC">
        <w:rPr>
          <w:rFonts w:asciiTheme="minorHAnsi" w:hAnsiTheme="minorHAnsi" w:cstheme="minorHAnsi"/>
          <w:sz w:val="24"/>
          <w:szCs w:val="24"/>
        </w:rPr>
        <w:lastRenderedPageBreak/>
        <w:t xml:space="preserve">opiekuńczo-leczniczych, wymiany łóżek szpitalnych, wsparcia infrastruktury ratownictwa medycznego. W ramach programu planowano także budowę i </w:t>
      </w:r>
      <w:r>
        <w:rPr>
          <w:rFonts w:asciiTheme="minorHAnsi" w:hAnsiTheme="minorHAnsi" w:cstheme="minorHAnsi"/>
          <w:sz w:val="24"/>
          <w:szCs w:val="24"/>
        </w:rPr>
        <w:t> </w:t>
      </w:r>
      <w:r w:rsidRPr="00872CEC">
        <w:rPr>
          <w:rFonts w:asciiTheme="minorHAnsi" w:hAnsiTheme="minorHAnsi" w:cstheme="minorHAnsi"/>
          <w:sz w:val="24"/>
          <w:szCs w:val="24"/>
        </w:rPr>
        <w:t>dostosowanie lądowisk przyszpitalnych do obecnych wymagań, jednak dotychczas nie ogłoszono konkursu w tym zakresie.</w:t>
      </w:r>
      <w:r>
        <w:t xml:space="preserve"> </w:t>
      </w:r>
    </w:p>
    <w:p w14:paraId="0155E5BE" w14:textId="77777777" w:rsidR="0095084D" w:rsidRPr="00575AE2" w:rsidRDefault="0095084D" w:rsidP="0095084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75AE2">
        <w:rPr>
          <w:rFonts w:asciiTheme="minorHAnsi" w:hAnsiTheme="minorHAnsi" w:cstheme="minorHAnsi"/>
          <w:sz w:val="24"/>
          <w:szCs w:val="24"/>
        </w:rPr>
        <w:t xml:space="preserve">W 2023 roku ogłoszono i rozstrzygnięto konkurs na dofinansowanie infrastruktury ratownictwa medycznego w ramach Subfunduszu modernizacji podmiotów leczniczych, tj.: </w:t>
      </w:r>
      <w:r w:rsidRPr="00575AE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modernizację, przebudowę lub doposażenie szpitalnych oddziałów ratunkowych (SOR) lub pracowni diagnostycznych współpracujących z SOR</w:t>
      </w:r>
      <w:r w:rsidRPr="00575AE2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2"/>
      </w:r>
      <w:r w:rsidRPr="00575AE2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. </w:t>
      </w:r>
      <w:r w:rsidRPr="00575AE2">
        <w:rPr>
          <w:rFonts w:asciiTheme="minorHAnsi" w:hAnsiTheme="minorHAnsi" w:cstheme="minorHAnsi"/>
          <w:sz w:val="24"/>
          <w:szCs w:val="24"/>
        </w:rPr>
        <w:t xml:space="preserve">Maksymalna wartość dofinansowania jednego wniosku wynosiła 15 mln zł, a minimalna – 2 mln zł. Na wszystkie 243 SOR-y </w:t>
      </w:r>
      <w:r>
        <w:rPr>
          <w:rFonts w:asciiTheme="minorHAnsi" w:hAnsiTheme="minorHAnsi" w:cstheme="minorHAnsi"/>
          <w:sz w:val="24"/>
          <w:szCs w:val="24"/>
        </w:rPr>
        <w:t>funkcjonujące w Polsce,</w:t>
      </w:r>
      <w:r w:rsidRPr="00575AE2">
        <w:rPr>
          <w:rFonts w:asciiTheme="minorHAnsi" w:hAnsiTheme="minorHAnsi" w:cstheme="minorHAnsi"/>
          <w:sz w:val="24"/>
          <w:szCs w:val="24"/>
        </w:rPr>
        <w:t xml:space="preserve"> 207 złożyło wnioski o wartości 2,6 mld zł, z czego ostatecznie wybrano 152 projekty</w:t>
      </w:r>
      <w:r>
        <w:rPr>
          <w:rFonts w:asciiTheme="minorHAnsi" w:hAnsiTheme="minorHAnsi" w:cstheme="minorHAnsi"/>
          <w:sz w:val="24"/>
          <w:szCs w:val="24"/>
        </w:rPr>
        <w:t xml:space="preserve"> na łączną kwotę </w:t>
      </w:r>
      <w:r w:rsidRPr="00575AE2">
        <w:rPr>
          <w:rFonts w:asciiTheme="minorHAnsi" w:hAnsiTheme="minorHAnsi" w:cstheme="minorHAnsi"/>
          <w:sz w:val="24"/>
          <w:szCs w:val="24"/>
        </w:rPr>
        <w:t>niemal 1,5 mld zł</w:t>
      </w:r>
      <w:r>
        <w:rPr>
          <w:rFonts w:asciiTheme="minorHAnsi" w:hAnsiTheme="minorHAnsi" w:cstheme="minorHAnsi"/>
          <w:sz w:val="24"/>
          <w:szCs w:val="24"/>
        </w:rPr>
        <w:t xml:space="preserve"> (pierwotnie planowano na konkurs kwotę 700  mln zł). </w:t>
      </w:r>
    </w:p>
    <w:p w14:paraId="575B5A20" w14:textId="77777777" w:rsidR="0095084D" w:rsidRPr="00575AE2" w:rsidRDefault="0095084D" w:rsidP="0095084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75AE2">
        <w:rPr>
          <w:rFonts w:asciiTheme="minorHAnsi" w:hAnsiTheme="minorHAnsi" w:cstheme="minorHAnsi"/>
          <w:sz w:val="24"/>
          <w:szCs w:val="24"/>
        </w:rPr>
        <w:lastRenderedPageBreak/>
        <w:t>Wśród wybranych do realizacji projektów znajdują się dwa realizowane przez wojewódzkie szpitale, tj.:</w:t>
      </w:r>
    </w:p>
    <w:p w14:paraId="669D6EFE" w14:textId="77777777" w:rsidR="0095084D" w:rsidRDefault="0095084D" w:rsidP="0095084D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93C78">
        <w:rPr>
          <w:rFonts w:asciiTheme="minorHAnsi" w:hAnsiTheme="minorHAnsi" w:cstheme="minorHAnsi"/>
          <w:iCs/>
          <w:sz w:val="24"/>
          <w:szCs w:val="24"/>
        </w:rPr>
        <w:t>Wojewódzki Szpital im. Zofii z Zamoyskich Tarnowskiej w Tarnobrzegu -</w:t>
      </w:r>
      <w:r w:rsidRPr="00575AE2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575AE2">
        <w:rPr>
          <w:rFonts w:asciiTheme="minorHAnsi" w:hAnsiTheme="minorHAnsi" w:cstheme="minorHAnsi"/>
          <w:sz w:val="24"/>
          <w:szCs w:val="24"/>
        </w:rPr>
        <w:t>artość kosztorysowa inwestycji</w:t>
      </w:r>
      <w:r>
        <w:rPr>
          <w:rFonts w:asciiTheme="minorHAnsi" w:hAnsiTheme="minorHAnsi" w:cstheme="minorHAnsi"/>
          <w:sz w:val="24"/>
          <w:szCs w:val="24"/>
        </w:rPr>
        <w:t xml:space="preserve"> wynosi </w:t>
      </w:r>
      <w:r w:rsidRPr="00575AE2">
        <w:rPr>
          <w:rFonts w:asciiTheme="minorHAnsi" w:hAnsiTheme="minorHAnsi" w:cstheme="minorHAnsi"/>
          <w:sz w:val="24"/>
          <w:szCs w:val="24"/>
        </w:rPr>
        <w:t>14 826 579,00 zł brutto</w:t>
      </w:r>
      <w:r>
        <w:rPr>
          <w:rFonts w:asciiTheme="minorHAnsi" w:hAnsiTheme="minorHAnsi" w:cstheme="minorHAnsi"/>
          <w:sz w:val="24"/>
          <w:szCs w:val="24"/>
        </w:rPr>
        <w:t>;</w:t>
      </w:r>
    </w:p>
    <w:p w14:paraId="40B7E4C2" w14:textId="77777777" w:rsidR="0095084D" w:rsidRPr="00575AE2" w:rsidRDefault="0095084D" w:rsidP="0095084D">
      <w:pPr>
        <w:pStyle w:val="Akapitzlist"/>
        <w:numPr>
          <w:ilvl w:val="0"/>
          <w:numId w:val="16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793C78">
        <w:rPr>
          <w:rFonts w:asciiTheme="minorHAnsi" w:hAnsiTheme="minorHAnsi" w:cstheme="minorHAnsi"/>
          <w:iCs/>
          <w:sz w:val="24"/>
          <w:szCs w:val="24"/>
        </w:rPr>
        <w:t>Wojewódzki Szpital im. Św. Ojca Pio w Przemyślu -</w:t>
      </w:r>
      <w:r w:rsidRPr="00575AE2">
        <w:rPr>
          <w:rFonts w:asciiTheme="minorHAnsi" w:hAnsiTheme="minorHAnsi" w:cstheme="minorHAnsi"/>
          <w:i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</w:t>
      </w:r>
      <w:r w:rsidRPr="00575AE2">
        <w:rPr>
          <w:rFonts w:asciiTheme="minorHAnsi" w:hAnsiTheme="minorHAnsi" w:cstheme="minorHAnsi"/>
          <w:sz w:val="24"/>
          <w:szCs w:val="24"/>
        </w:rPr>
        <w:t>artość kosztorysowa inwestycji</w:t>
      </w:r>
      <w:r>
        <w:rPr>
          <w:rFonts w:asciiTheme="minorHAnsi" w:hAnsiTheme="minorHAnsi" w:cstheme="minorHAnsi"/>
          <w:sz w:val="24"/>
          <w:szCs w:val="24"/>
        </w:rPr>
        <w:t xml:space="preserve"> wynosi</w:t>
      </w:r>
      <w:r w:rsidRPr="00575AE2">
        <w:rPr>
          <w:rFonts w:asciiTheme="minorHAnsi" w:hAnsiTheme="minorHAnsi" w:cstheme="minorHAnsi"/>
          <w:sz w:val="24"/>
          <w:szCs w:val="24"/>
        </w:rPr>
        <w:t xml:space="preserve"> 14 994 900,00 zł brutto.</w:t>
      </w:r>
    </w:p>
    <w:p w14:paraId="69CFC230" w14:textId="77777777" w:rsidR="0095084D" w:rsidRPr="00575AE2" w:rsidRDefault="0095084D" w:rsidP="0095084D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Projekty obejmują przebudowę i modernizację pomieszczeń SOR oraz zakupu wyposażenia i  sprzętu medycznego. </w:t>
      </w:r>
      <w:r w:rsidRPr="00575AE2">
        <w:rPr>
          <w:rFonts w:asciiTheme="minorHAnsi" w:hAnsiTheme="minorHAnsi" w:cstheme="minorHAnsi"/>
          <w:sz w:val="24"/>
          <w:szCs w:val="24"/>
        </w:rPr>
        <w:t>Termin realizacji inwestycji to koniec 2025 roku.</w:t>
      </w:r>
    </w:p>
    <w:p w14:paraId="625991DD" w14:textId="77777777" w:rsidR="0095084D" w:rsidRDefault="0095084D" w:rsidP="0095084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Wniosek składał także </w:t>
      </w:r>
      <w:r w:rsidRPr="00793C78">
        <w:rPr>
          <w:rFonts w:ascii="Calibri" w:hAnsi="Calibri" w:cs="Calibri"/>
          <w:sz w:val="24"/>
          <w:szCs w:val="24"/>
        </w:rPr>
        <w:t>Wojewódzki Szpital Podkarpacki im. Jana</w:t>
      </w:r>
      <w:r>
        <w:rPr>
          <w:rFonts w:ascii="Calibri" w:hAnsi="Calibri" w:cs="Calibri"/>
          <w:sz w:val="24"/>
          <w:szCs w:val="24"/>
        </w:rPr>
        <w:t xml:space="preserve"> </w:t>
      </w:r>
      <w:r w:rsidRPr="00793C78">
        <w:rPr>
          <w:rFonts w:ascii="Calibri" w:hAnsi="Calibri" w:cs="Calibri"/>
          <w:sz w:val="24"/>
          <w:szCs w:val="24"/>
        </w:rPr>
        <w:t>Pawła II w Krośnie</w:t>
      </w:r>
      <w:r>
        <w:rPr>
          <w:rFonts w:ascii="Calibri" w:hAnsi="Calibri" w:cs="Calibri"/>
          <w:sz w:val="24"/>
          <w:szCs w:val="24"/>
        </w:rPr>
        <w:t xml:space="preserve"> (na kwotę </w:t>
      </w:r>
      <w:r w:rsidRPr="00793C78">
        <w:rPr>
          <w:rFonts w:ascii="Calibri" w:hAnsi="Calibri" w:cs="Calibri"/>
          <w:sz w:val="24"/>
          <w:szCs w:val="24"/>
        </w:rPr>
        <w:t>8 997</w:t>
      </w:r>
      <w:r>
        <w:rPr>
          <w:rFonts w:ascii="Calibri" w:hAnsi="Calibri" w:cs="Calibri"/>
          <w:sz w:val="24"/>
          <w:szCs w:val="24"/>
        </w:rPr>
        <w:t> </w:t>
      </w:r>
      <w:r w:rsidRPr="00793C78">
        <w:rPr>
          <w:rFonts w:ascii="Calibri" w:hAnsi="Calibri" w:cs="Calibri"/>
          <w:sz w:val="24"/>
          <w:szCs w:val="24"/>
        </w:rPr>
        <w:t>220</w:t>
      </w:r>
      <w:r>
        <w:rPr>
          <w:rFonts w:ascii="Calibri" w:hAnsi="Calibri" w:cs="Calibri"/>
          <w:sz w:val="24"/>
          <w:szCs w:val="24"/>
        </w:rPr>
        <w:t xml:space="preserve"> zł brutto), ale projekt nie został wybrany do dofinansowania (nie uzyskał wymaganej liczby punktów).</w:t>
      </w:r>
    </w:p>
    <w:p w14:paraId="213DB0BE" w14:textId="77777777" w:rsidR="0095084D" w:rsidRPr="00844297" w:rsidRDefault="0095084D" w:rsidP="0095084D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844297">
        <w:rPr>
          <w:rFonts w:asciiTheme="minorHAnsi" w:hAnsiTheme="minorHAnsi" w:cstheme="minorHAnsi"/>
        </w:rPr>
        <w:lastRenderedPageBreak/>
        <w:t>W 2023 r. ogłoszono i rozstrzygnięto również konkurs na dofinansowanie wymiany karetek dla zespołów ratownictwa medycznego</w:t>
      </w:r>
      <w:r w:rsidRPr="00844297">
        <w:rPr>
          <w:rStyle w:val="Odwoanieprzypisudolnego"/>
          <w:rFonts w:asciiTheme="minorHAnsi" w:hAnsiTheme="minorHAnsi" w:cstheme="minorHAnsi"/>
        </w:rPr>
        <w:footnoteReference w:id="13"/>
      </w:r>
      <w:r w:rsidRPr="00844297">
        <w:rPr>
          <w:rFonts w:asciiTheme="minorHAnsi" w:hAnsiTheme="minorHAnsi" w:cstheme="minorHAnsi"/>
        </w:rPr>
        <w:t xml:space="preserve">. Oceniono 128 wniosków konkursowych, z czego 121 spełniało warunki konkursu. Wartość przyznanych środków wynosi łącznie ponad 72,4  mln zł. </w:t>
      </w:r>
      <w:r>
        <w:rPr>
          <w:rFonts w:asciiTheme="minorHAnsi" w:hAnsiTheme="minorHAnsi" w:cstheme="minorHAnsi"/>
        </w:rPr>
        <w:t>P</w:t>
      </w:r>
      <w:r w:rsidRPr="00844297">
        <w:rPr>
          <w:rFonts w:asciiTheme="minorHAnsi" w:hAnsiTheme="minorHAnsi" w:cstheme="minorHAnsi"/>
        </w:rPr>
        <w:t xml:space="preserve">ośród wybranych podmiotów znajdują się Powiatowe Stacje Pogotowia Ratunkowego w </w:t>
      </w:r>
      <w:r>
        <w:rPr>
          <w:rFonts w:asciiTheme="minorHAnsi" w:hAnsiTheme="minorHAnsi" w:cstheme="minorHAnsi"/>
        </w:rPr>
        <w:t> </w:t>
      </w:r>
      <w:r w:rsidRPr="00844297">
        <w:rPr>
          <w:rFonts w:asciiTheme="minorHAnsi" w:hAnsiTheme="minorHAnsi" w:cstheme="minorHAnsi"/>
        </w:rPr>
        <w:t>Sanoku, Mielcu i Krośnie.</w:t>
      </w:r>
    </w:p>
    <w:p w14:paraId="56B21A40" w14:textId="77777777" w:rsidR="0095084D" w:rsidRPr="00E0433B" w:rsidRDefault="0095084D" w:rsidP="0095084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E0433B">
        <w:rPr>
          <w:rFonts w:ascii="Calibri" w:hAnsi="Calibri" w:cs="Calibri"/>
          <w:sz w:val="24"/>
          <w:szCs w:val="24"/>
        </w:rPr>
        <w:t xml:space="preserve">Pod koniec marca 2024 r. Minister Zdrowia ogłosił konkurs </w:t>
      </w:r>
      <w:r w:rsidRPr="00E0433B"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na wybór propozycji projektów strategicznych w zakresie dofinansowania zadań polegających na budowie, przebudowie, modernizacji lub doposażeniu infrastruktury strategicznej podmiotów wykonujących działalność leczniczą w rodzaju stacjonarne i całodobowe świadczenia zdrowotne w zakresie opieka psychiatryczna i </w:t>
      </w:r>
      <w:r w:rsidRPr="00E0433B">
        <w:rPr>
          <w:rStyle w:val="Pogrubienie"/>
          <w:rFonts w:ascii="Calibri" w:hAnsi="Calibri" w:cs="Calibri"/>
          <w:b w:val="0"/>
          <w:bCs w:val="0"/>
          <w:sz w:val="24"/>
          <w:szCs w:val="24"/>
        </w:rPr>
        <w:lastRenderedPageBreak/>
        <w:t>leczenie uzależnień, na podstawie umowy z  Narodowym Funduszem Zdrowia</w:t>
      </w:r>
      <w:r w:rsidRPr="00E043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0433B">
        <w:rPr>
          <w:rFonts w:ascii="Calibri" w:hAnsi="Calibri" w:cs="Calibri"/>
          <w:sz w:val="24"/>
          <w:szCs w:val="24"/>
        </w:rPr>
        <w:t>w ramach Subfunduszu infrastruktury strategicznej</w:t>
      </w:r>
      <w:r>
        <w:rPr>
          <w:rStyle w:val="Odwoanieprzypisudolnego"/>
          <w:rFonts w:ascii="Calibri" w:hAnsi="Calibri" w:cs="Calibri"/>
          <w:sz w:val="24"/>
          <w:szCs w:val="24"/>
        </w:rPr>
        <w:footnoteReference w:id="14"/>
      </w:r>
      <w:r w:rsidRPr="00E0433B">
        <w:rPr>
          <w:rFonts w:ascii="Calibri" w:hAnsi="Calibri" w:cs="Calibri"/>
          <w:sz w:val="24"/>
          <w:szCs w:val="24"/>
        </w:rPr>
        <w:t>.</w:t>
      </w:r>
    </w:p>
    <w:p w14:paraId="09A5F00E" w14:textId="77777777" w:rsidR="0095084D" w:rsidRPr="00E0433B" w:rsidRDefault="0095084D" w:rsidP="0095084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E0433B">
        <w:rPr>
          <w:rFonts w:ascii="Calibri" w:hAnsi="Calibri" w:cs="Calibri"/>
          <w:sz w:val="24"/>
          <w:szCs w:val="24"/>
        </w:rPr>
        <w:t>Przedmiotem konkursu jest wsparcie placówek medycznych zajmujących się opieką psychiatryczną dzieci i młodzieży oraz osób dorosłych.</w:t>
      </w:r>
    </w:p>
    <w:p w14:paraId="3DF704A8" w14:textId="77777777" w:rsidR="0095084D" w:rsidRPr="00DE4AD5" w:rsidRDefault="0095084D" w:rsidP="0095084D">
      <w:pPr>
        <w:spacing w:after="120"/>
        <w:jc w:val="both"/>
        <w:rPr>
          <w:rFonts w:ascii="Calibri" w:hAnsi="Calibri" w:cs="Calibri"/>
          <w:b/>
          <w:bCs/>
          <w:sz w:val="24"/>
          <w:szCs w:val="24"/>
        </w:rPr>
      </w:pPr>
      <w:r w:rsidRPr="00E0433B">
        <w:rPr>
          <w:rFonts w:ascii="Calibri" w:hAnsi="Calibri" w:cs="Calibri"/>
          <w:sz w:val="24"/>
          <w:szCs w:val="24"/>
        </w:rPr>
        <w:t>Nabór wniosków o dofinansowanie</w:t>
      </w:r>
      <w:r w:rsidRPr="00E043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E0433B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rozpoczyna się w dniu 6 maja 2024 r. i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</w:rPr>
        <w:t>  </w:t>
      </w:r>
      <w:r w:rsidRPr="00E0433B">
        <w:rPr>
          <w:rStyle w:val="Pogrubienie"/>
          <w:rFonts w:ascii="Calibri" w:hAnsi="Calibri" w:cs="Calibri"/>
          <w:b w:val="0"/>
          <w:bCs w:val="0"/>
          <w:sz w:val="24"/>
          <w:szCs w:val="24"/>
        </w:rPr>
        <w:t>trwa do 31 sierpnia 2024 r.</w:t>
      </w:r>
      <w:r>
        <w:rPr>
          <w:rStyle w:val="Pogrubienie"/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Pr="00E0433B">
        <w:rPr>
          <w:rFonts w:ascii="Calibri" w:hAnsi="Calibri" w:cs="Calibri"/>
          <w:sz w:val="24"/>
          <w:szCs w:val="24"/>
        </w:rPr>
        <w:t xml:space="preserve">Kwota środków finansowych przeznaczonych na dofinansowanie wniosków w </w:t>
      </w:r>
      <w:r>
        <w:rPr>
          <w:rFonts w:ascii="Calibri" w:hAnsi="Calibri" w:cs="Calibri"/>
          <w:sz w:val="24"/>
          <w:szCs w:val="24"/>
        </w:rPr>
        <w:t> </w:t>
      </w:r>
      <w:r w:rsidRPr="00E0433B">
        <w:rPr>
          <w:rFonts w:ascii="Calibri" w:hAnsi="Calibri" w:cs="Calibri"/>
          <w:sz w:val="24"/>
          <w:szCs w:val="24"/>
        </w:rPr>
        <w:t xml:space="preserve">konkursie wynosi 3 mld zł. </w:t>
      </w:r>
    </w:p>
    <w:p w14:paraId="4DECBC28" w14:textId="4EFD2C64" w:rsidR="00D260F0" w:rsidRPr="00BC36D0" w:rsidRDefault="0034211F" w:rsidP="00547AEB">
      <w:pPr>
        <w:pStyle w:val="Nagwek3"/>
        <w:spacing w:before="0"/>
      </w:pPr>
      <w:r w:rsidRPr="00BC36D0">
        <w:t>Krajowa Sieć Onkologiczna</w:t>
      </w:r>
      <w:r w:rsidR="006C6107" w:rsidRPr="00BC36D0">
        <w:t xml:space="preserve"> </w:t>
      </w:r>
    </w:p>
    <w:p w14:paraId="3CBF3BAC" w14:textId="77777777" w:rsidR="00B84A08" w:rsidRPr="00BC36D0" w:rsidRDefault="00B25302" w:rsidP="00B84527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C36D0">
        <w:rPr>
          <w:rFonts w:asciiTheme="minorHAnsi" w:hAnsiTheme="minorHAnsi" w:cstheme="minorHAnsi"/>
          <w:sz w:val="24"/>
          <w:szCs w:val="24"/>
        </w:rPr>
        <w:lastRenderedPageBreak/>
        <w:t>Krajowa Sieć Onkologiczna (KSO)</w:t>
      </w:r>
      <w:r w:rsidR="004A1AF5" w:rsidRPr="00BC36D0">
        <w:rPr>
          <w:rFonts w:asciiTheme="minorHAnsi" w:hAnsiTheme="minorHAnsi" w:cstheme="minorHAnsi"/>
          <w:sz w:val="24"/>
          <w:szCs w:val="24"/>
        </w:rPr>
        <w:t xml:space="preserve"> </w:t>
      </w:r>
      <w:r w:rsidRPr="00BC36D0">
        <w:rPr>
          <w:rFonts w:asciiTheme="minorHAnsi" w:hAnsiTheme="minorHAnsi" w:cstheme="minorHAnsi"/>
          <w:sz w:val="24"/>
          <w:szCs w:val="24"/>
        </w:rPr>
        <w:t>została wprowadzona przez ustawę z dnia 9 marca 2023 r. o Krajowej Sieci Onkologicznej (Dz. U. 2023, poz. 650).</w:t>
      </w:r>
    </w:p>
    <w:p w14:paraId="57935DCD" w14:textId="77777777" w:rsidR="00B84A08" w:rsidRPr="00BC36D0" w:rsidRDefault="00B84A08" w:rsidP="00B84A08">
      <w:pPr>
        <w:spacing w:after="120" w:line="259" w:lineRule="auto"/>
        <w:jc w:val="both"/>
        <w:rPr>
          <w:rFonts w:asciiTheme="minorHAnsi" w:hAnsiTheme="minorHAnsi" w:cstheme="minorHAnsi"/>
          <w:i/>
          <w:iCs/>
          <w:color w:val="000000"/>
          <w:sz w:val="24"/>
          <w:szCs w:val="24"/>
        </w:rPr>
      </w:pPr>
      <w:r w:rsidRPr="00BC36D0">
        <w:rPr>
          <w:rFonts w:asciiTheme="minorHAnsi" w:hAnsiTheme="minorHAnsi" w:cstheme="minorHAnsi"/>
          <w:sz w:val="24"/>
          <w:szCs w:val="24"/>
        </w:rPr>
        <w:t xml:space="preserve">Priorytetem KSO jest zapewnienie każdemu dorosłemu pacjentowi, niezależnie od miejsca zamieszkania, opieki onkologicznej opartej na jednakowych standardach diagnostyczno-terapeutycznych. </w:t>
      </w:r>
    </w:p>
    <w:p w14:paraId="390D3C53" w14:textId="01670C0A" w:rsidR="00B84A08" w:rsidRPr="00BC36D0" w:rsidRDefault="00B84A08" w:rsidP="00B84527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36D0">
        <w:rPr>
          <w:rFonts w:asciiTheme="minorHAnsi" w:hAnsiTheme="minorHAnsi" w:cstheme="minorHAnsi"/>
          <w:sz w:val="24"/>
          <w:szCs w:val="24"/>
        </w:rPr>
        <w:t>Z dniem 31 marca 2024 r. weszła w życie ustawa z dnia 22 lutego 2024 r. o zmianie ustawy o Krajowej Sieci Onkologicznej (Dz. U. 2024, poz. 414)</w:t>
      </w:r>
      <w:r w:rsidR="00102D9C" w:rsidRPr="00BC36D0">
        <w:rPr>
          <w:rFonts w:asciiTheme="minorHAnsi" w:hAnsiTheme="minorHAnsi" w:cstheme="minorHAnsi"/>
          <w:sz w:val="24"/>
          <w:szCs w:val="24"/>
        </w:rPr>
        <w:t>, która wprowadza zmiany w termiach wdrażania Sieci, tj.: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5A6355FE" w14:textId="24445F5A" w:rsidR="00B84A08" w:rsidRPr="00BC36D0" w:rsidRDefault="00B84A08" w:rsidP="00844297">
      <w:pPr>
        <w:pStyle w:val="Akapitzlist"/>
        <w:numPr>
          <w:ilvl w:val="0"/>
          <w:numId w:val="11"/>
        </w:numPr>
        <w:spacing w:after="160"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C36D0">
        <w:rPr>
          <w:rFonts w:asciiTheme="minorHAnsi" w:hAnsiTheme="minorHAnsi" w:cstheme="minorHAnsi"/>
          <w:sz w:val="24"/>
          <w:szCs w:val="24"/>
        </w:rPr>
        <w:t>terminu pierwszej kwalifikacji do KSO – po zmianie będzie przeprowadzona w terminie do 31 marca 2025 r. (było do 31 marca 2024 r.)</w:t>
      </w:r>
    </w:p>
    <w:p w14:paraId="2FE6D54E" w14:textId="0303EE39" w:rsidR="00B84A08" w:rsidRPr="00BC36D0" w:rsidRDefault="00B84A08" w:rsidP="00844297">
      <w:pPr>
        <w:pStyle w:val="Akapitzlist"/>
        <w:numPr>
          <w:ilvl w:val="0"/>
          <w:numId w:val="11"/>
        </w:numPr>
        <w:spacing w:after="160"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C36D0">
        <w:rPr>
          <w:rFonts w:asciiTheme="minorHAnsi" w:hAnsiTheme="minorHAnsi" w:cstheme="minorHAnsi"/>
          <w:sz w:val="24"/>
          <w:szCs w:val="24"/>
        </w:rPr>
        <w:t>terminu obowiązywania uprawnień</w:t>
      </w:r>
      <w:r w:rsidR="00102D9C" w:rsidRPr="00BC36D0">
        <w:rPr>
          <w:rFonts w:asciiTheme="minorHAnsi" w:hAnsiTheme="minorHAnsi" w:cstheme="minorHAnsi"/>
          <w:sz w:val="24"/>
          <w:szCs w:val="24"/>
        </w:rPr>
        <w:t xml:space="preserve"> do realizacji opieki onkologicznej w ramach umowy zawartej z NFZ – po zmianie </w:t>
      </w:r>
      <w:r w:rsidRPr="00BC36D0">
        <w:rPr>
          <w:rFonts w:asciiTheme="minorHAnsi" w:hAnsiTheme="minorHAnsi" w:cstheme="minorHAnsi"/>
          <w:sz w:val="24"/>
          <w:szCs w:val="24"/>
        </w:rPr>
        <w:t>z dniem 1 kwietnia 202</w:t>
      </w:r>
      <w:r w:rsidR="00102D9C" w:rsidRPr="00BC36D0">
        <w:rPr>
          <w:rFonts w:asciiTheme="minorHAnsi" w:hAnsiTheme="minorHAnsi" w:cstheme="minorHAnsi"/>
          <w:sz w:val="24"/>
          <w:szCs w:val="24"/>
        </w:rPr>
        <w:t>5</w:t>
      </w:r>
      <w:r w:rsidRPr="00BC36D0">
        <w:rPr>
          <w:rFonts w:asciiTheme="minorHAnsi" w:hAnsiTheme="minorHAnsi" w:cstheme="minorHAnsi"/>
          <w:sz w:val="24"/>
          <w:szCs w:val="24"/>
        </w:rPr>
        <w:t xml:space="preserve"> r. podmioty wykonujące działalność leczniczą, niewchodzące w skład KSO, nie </w:t>
      </w:r>
      <w:r w:rsidR="00102D9C" w:rsidRPr="00BC36D0">
        <w:rPr>
          <w:rFonts w:asciiTheme="minorHAnsi" w:hAnsiTheme="minorHAnsi" w:cstheme="minorHAnsi"/>
          <w:sz w:val="24"/>
          <w:szCs w:val="24"/>
        </w:rPr>
        <w:t>będą</w:t>
      </w:r>
      <w:r w:rsidRPr="00BC36D0">
        <w:rPr>
          <w:rFonts w:asciiTheme="minorHAnsi" w:hAnsiTheme="minorHAnsi" w:cstheme="minorHAnsi"/>
          <w:sz w:val="24"/>
          <w:szCs w:val="24"/>
        </w:rPr>
        <w:t xml:space="preserve"> uprawnione do realizacji opieki onkologicznej w ramach umowy zawartej z NFZ </w:t>
      </w:r>
      <w:r w:rsidR="00102D9C" w:rsidRPr="00BC36D0">
        <w:rPr>
          <w:rFonts w:asciiTheme="minorHAnsi" w:hAnsiTheme="minorHAnsi" w:cstheme="minorHAnsi"/>
          <w:sz w:val="24"/>
          <w:szCs w:val="24"/>
        </w:rPr>
        <w:t>(było z dniem 1 kwietnia 2024 r.)</w:t>
      </w:r>
    </w:p>
    <w:p w14:paraId="4591D79E" w14:textId="172D8EC5" w:rsidR="00B84A08" w:rsidRPr="00BC36D0" w:rsidRDefault="00102D9C" w:rsidP="00844297">
      <w:pPr>
        <w:pStyle w:val="Akapitzlist"/>
        <w:numPr>
          <w:ilvl w:val="0"/>
          <w:numId w:val="11"/>
        </w:numPr>
        <w:spacing w:after="120" w:line="259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BC36D0">
        <w:rPr>
          <w:rFonts w:asciiTheme="minorHAnsi" w:hAnsiTheme="minorHAnsi" w:cstheme="minorHAnsi"/>
          <w:sz w:val="24"/>
          <w:szCs w:val="24"/>
        </w:rPr>
        <w:lastRenderedPageBreak/>
        <w:t xml:space="preserve">terminu </w:t>
      </w:r>
      <w:r w:rsidR="00B84A08" w:rsidRPr="00BC36D0">
        <w:rPr>
          <w:rFonts w:asciiTheme="minorHAnsi" w:hAnsiTheme="minorHAnsi" w:cstheme="minorHAnsi"/>
          <w:sz w:val="24"/>
          <w:szCs w:val="24"/>
        </w:rPr>
        <w:t>uruchomieni</w:t>
      </w:r>
      <w:r w:rsidRPr="00BC36D0">
        <w:rPr>
          <w:rFonts w:asciiTheme="minorHAnsi" w:hAnsiTheme="minorHAnsi" w:cstheme="minorHAnsi"/>
          <w:sz w:val="24"/>
          <w:szCs w:val="24"/>
        </w:rPr>
        <w:t>a</w:t>
      </w:r>
      <w:r w:rsidR="00B84A08" w:rsidRPr="00BC36D0">
        <w:rPr>
          <w:rFonts w:asciiTheme="minorHAnsi" w:hAnsiTheme="minorHAnsi" w:cstheme="minorHAnsi"/>
          <w:sz w:val="24"/>
          <w:szCs w:val="24"/>
        </w:rPr>
        <w:t xml:space="preserve"> infolinii i e-rejestracji na poziomie krajowym (udzielanie pełnej informacji o opiece onkologicznej, zapisanie pacjentów na świadczenia onkologiczne, zgłaszanie uwag co do funkcjonowania Krajowej Sieci Onkologicznej) </w:t>
      </w:r>
      <w:r w:rsidRPr="00BC36D0">
        <w:rPr>
          <w:rFonts w:asciiTheme="minorHAnsi" w:hAnsiTheme="minorHAnsi" w:cstheme="minorHAnsi"/>
          <w:sz w:val="24"/>
          <w:szCs w:val="24"/>
        </w:rPr>
        <w:t>– po</w:t>
      </w:r>
      <w:r w:rsidR="00B84A08" w:rsidRPr="00BC36D0">
        <w:rPr>
          <w:rFonts w:asciiTheme="minorHAnsi" w:hAnsiTheme="minorHAnsi" w:cstheme="minorHAnsi"/>
          <w:sz w:val="24"/>
          <w:szCs w:val="24"/>
        </w:rPr>
        <w:t xml:space="preserve"> nowelizacji ustawy </w:t>
      </w:r>
      <w:r w:rsidR="00BC36D0" w:rsidRPr="00BC36D0">
        <w:rPr>
          <w:rFonts w:asciiTheme="minorHAnsi" w:hAnsiTheme="minorHAnsi" w:cstheme="minorHAnsi"/>
          <w:sz w:val="24"/>
          <w:szCs w:val="24"/>
        </w:rPr>
        <w:t xml:space="preserve">uruchomienie nastąpi </w:t>
      </w:r>
      <w:r w:rsidR="00B84A08" w:rsidRPr="00BC36D0">
        <w:rPr>
          <w:rFonts w:asciiTheme="minorHAnsi" w:hAnsiTheme="minorHAnsi" w:cstheme="minorHAnsi"/>
          <w:sz w:val="24"/>
          <w:szCs w:val="24"/>
        </w:rPr>
        <w:t>od 1 lipca 2025 r.</w:t>
      </w:r>
      <w:r w:rsidRPr="00BC36D0">
        <w:rPr>
          <w:rFonts w:asciiTheme="minorHAnsi" w:hAnsiTheme="minorHAnsi" w:cstheme="minorHAnsi"/>
          <w:sz w:val="24"/>
          <w:szCs w:val="24"/>
        </w:rPr>
        <w:t xml:space="preserve"> (było od kwietnia 2024 r.)</w:t>
      </w:r>
      <w:r w:rsidR="00B84A08" w:rsidRPr="00BC36D0">
        <w:rPr>
          <w:rFonts w:asciiTheme="minorHAnsi" w:hAnsiTheme="minorHAnsi" w:cstheme="minorHAnsi"/>
          <w:sz w:val="24"/>
          <w:szCs w:val="24"/>
        </w:rPr>
        <w:t>.</w:t>
      </w:r>
    </w:p>
    <w:p w14:paraId="1C3EDE7C" w14:textId="30ADD17A" w:rsidR="000275FC" w:rsidRDefault="00BC36D0" w:rsidP="000275F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C36D0">
        <w:rPr>
          <w:rFonts w:asciiTheme="minorHAnsi" w:hAnsiTheme="minorHAnsi" w:cstheme="minorHAnsi"/>
          <w:sz w:val="24"/>
          <w:szCs w:val="24"/>
        </w:rPr>
        <w:t>Jak wskazano w uzasadnieniu do projektu ustawy, p</w:t>
      </w:r>
      <w:r w:rsidR="005079AB" w:rsidRPr="00BC36D0">
        <w:rPr>
          <w:rFonts w:asciiTheme="minorHAnsi" w:hAnsiTheme="minorHAnsi" w:cstheme="minorHAnsi"/>
          <w:sz w:val="24"/>
          <w:szCs w:val="24"/>
        </w:rPr>
        <w:t>rzesunięcie terminu pierwszej kwalifikacji pozwoli Narodowemu Funduszowi Zdrowia, na rzetelną weryfikację podmiotów pod względem szczegółowych kryteriów warunkujących przynależność podmiotów wykonujących działalność leczniczą do poziomu zabezpieczenia opieki onkologicznej KSO, a podmiotom tym zapewni niezbędny czas na przygotowanie zasobów kadrowych, organizacyjnych i ustalenie zasad przepływu informacji pomiędzy nimi.</w:t>
      </w:r>
    </w:p>
    <w:p w14:paraId="74AFF03A" w14:textId="77777777" w:rsidR="000275FC" w:rsidRPr="000275FC" w:rsidRDefault="000275FC" w:rsidP="000275FC">
      <w:pPr>
        <w:spacing w:after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5FC">
        <w:rPr>
          <w:rFonts w:asciiTheme="minorHAnsi" w:hAnsiTheme="minorHAnsi" w:cstheme="minorHAnsi"/>
          <w:color w:val="000000"/>
          <w:sz w:val="24"/>
          <w:szCs w:val="24"/>
        </w:rPr>
        <w:t>Na podstawie art. od 3-8 ustawy z dnia 9 marca 2023 roku o Krajowej Sieci Onkologicznej (Dz. U. 2023,  poz.  650) wstępna kwalifikacja wojewódzkich podmiotów leczniczych do poziomów zabezpieczenia opieki onkologicznej kształtuje się następująco:</w:t>
      </w:r>
    </w:p>
    <w:p w14:paraId="1C9FE625" w14:textId="77777777" w:rsidR="000275FC" w:rsidRPr="000275FC" w:rsidRDefault="000275FC" w:rsidP="000275FC">
      <w:pPr>
        <w:spacing w:after="0"/>
        <w:ind w:left="68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5FC">
        <w:rPr>
          <w:rFonts w:asciiTheme="minorHAnsi" w:hAnsiTheme="minorHAnsi" w:cstheme="minorHAnsi"/>
          <w:color w:val="000000"/>
          <w:sz w:val="24"/>
          <w:szCs w:val="24"/>
        </w:rPr>
        <w:lastRenderedPageBreak/>
        <w:t>1)</w:t>
      </w:r>
      <w:r w:rsidRPr="000275FC">
        <w:rPr>
          <w:rFonts w:asciiTheme="minorHAnsi" w:hAnsiTheme="minorHAnsi" w:cstheme="minorHAnsi"/>
          <w:color w:val="000000"/>
          <w:sz w:val="24"/>
          <w:szCs w:val="24"/>
        </w:rPr>
        <w:tab/>
        <w:t>SOLO III – Wojewódzki Szpital im. Zofii z Zamoyskich Tarnawskiej w Tarnobrzegu (udziela świadczeń w zakresie leczenia zabiegowego chirurgicznego, chemioterapii, radioterapii);</w:t>
      </w:r>
    </w:p>
    <w:p w14:paraId="3D4CE3B2" w14:textId="77777777" w:rsidR="000275FC" w:rsidRPr="000275FC" w:rsidRDefault="000275FC" w:rsidP="000275FC">
      <w:pPr>
        <w:spacing w:after="0"/>
        <w:ind w:left="68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5FC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Pr="000275FC">
        <w:rPr>
          <w:rFonts w:asciiTheme="minorHAnsi" w:hAnsiTheme="minorHAnsi" w:cstheme="minorHAnsi"/>
          <w:color w:val="000000"/>
          <w:sz w:val="24"/>
          <w:szCs w:val="24"/>
        </w:rPr>
        <w:tab/>
        <w:t>SOLO II – Wojewódzki Szpital im. Św. o. Pio w Przemyślu;</w:t>
      </w:r>
    </w:p>
    <w:p w14:paraId="49C7FDBA" w14:textId="77777777" w:rsidR="000275FC" w:rsidRPr="000275FC" w:rsidRDefault="000275FC" w:rsidP="000275FC">
      <w:pPr>
        <w:spacing w:after="0"/>
        <w:ind w:left="68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5FC">
        <w:rPr>
          <w:rFonts w:asciiTheme="minorHAnsi" w:hAnsiTheme="minorHAnsi" w:cstheme="minorHAnsi"/>
          <w:color w:val="000000"/>
          <w:sz w:val="24"/>
          <w:szCs w:val="24"/>
        </w:rPr>
        <w:t>3)</w:t>
      </w:r>
      <w:r w:rsidRPr="000275FC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SOLO I – Kliniczny Szpital Wojewódzki Nr 2 w Rzeszowie (z ustawowym wyłączeniem onkohematologii dziecięcej) oraz Wojewódzki Szpital Podkarpacki im. Jana Pawła II w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0275FC">
        <w:rPr>
          <w:rFonts w:asciiTheme="minorHAnsi" w:hAnsiTheme="minorHAnsi" w:cstheme="minorHAnsi"/>
          <w:color w:val="000000"/>
          <w:sz w:val="24"/>
          <w:szCs w:val="24"/>
        </w:rPr>
        <w:t>Krośnie;</w:t>
      </w:r>
    </w:p>
    <w:p w14:paraId="57E80CE7" w14:textId="741CAC32" w:rsidR="000275FC" w:rsidRPr="000275FC" w:rsidRDefault="000275FC" w:rsidP="000275FC">
      <w:pPr>
        <w:spacing w:after="120"/>
        <w:ind w:left="68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0275FC">
        <w:rPr>
          <w:rFonts w:asciiTheme="minorHAnsi" w:hAnsiTheme="minorHAnsi" w:cstheme="minorHAnsi"/>
          <w:color w:val="000000"/>
          <w:sz w:val="24"/>
          <w:szCs w:val="24"/>
        </w:rPr>
        <w:t>4)</w:t>
      </w:r>
      <w:r w:rsidRPr="000275FC">
        <w:rPr>
          <w:rFonts w:asciiTheme="minorHAnsi" w:hAnsiTheme="minorHAnsi" w:cstheme="minorHAnsi"/>
          <w:color w:val="000000"/>
          <w:sz w:val="24"/>
          <w:szCs w:val="24"/>
        </w:rPr>
        <w:tab/>
        <w:t>Ośrodek kooperacyjny – Wojewódzki Zespół Specjalistyczny w Rzeszowie.</w:t>
      </w:r>
    </w:p>
    <w:p w14:paraId="1A09F41D" w14:textId="25F72900" w:rsidR="000275FC" w:rsidRPr="000275FC" w:rsidRDefault="000275FC" w:rsidP="000275F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275FC">
        <w:rPr>
          <w:rFonts w:asciiTheme="minorHAnsi" w:hAnsiTheme="minorHAnsi" w:cstheme="minorHAnsi"/>
          <w:sz w:val="24"/>
          <w:szCs w:val="24"/>
        </w:rPr>
        <w:t>W związku z brakiem rozporządzenia określającego szczegółowe kryteria kwalifikacji do poszczególnych poziomów KSO (liczba i kwalifikacje personelu medycznego, potencjał diagnostyczno-terapeutyczny, liczba i rodzaj wykonywanych procedur medycznych lub liczby świadczeniobiorców, którym są udzielane świadczenia opieki zdrowotnej), trudno w  tym momencie ocenić z całą pewnością czy i w jakim zakresie wojewódzkie podmioty lecznicze spełnią te wymagania.</w:t>
      </w:r>
    </w:p>
    <w:p w14:paraId="16A3B6E3" w14:textId="4A68F391" w:rsidR="00BC36D0" w:rsidRPr="00BC36D0" w:rsidRDefault="00BC36D0" w:rsidP="00BC36D0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BC36D0">
        <w:rPr>
          <w:rFonts w:asciiTheme="minorHAnsi" w:hAnsiTheme="minorHAnsi" w:cstheme="minorHAnsi"/>
          <w:sz w:val="24"/>
          <w:szCs w:val="24"/>
        </w:rPr>
        <w:lastRenderedPageBreak/>
        <w:t>W 2023 roku konsultowano projekt rozporządzenia w sprawie szczegółowych kryteriów warunkujących przynależność podmiotu wykonującego działalność leczniczą do poziomu zabezpieczenia opieki onkologicznej Krajowej Sieci Onkologicznej Specjalistyczny Ośrodek Leczenia Onkologicznego. Po ustaleniach z wojewódzkimi szpitalami w czerwcu 2023 roku zostały zgłoszone uwagi do szczegółowych wymagań, które zostały odrzucone w całości. Zgłoszono zmniejszenie liczby zabiegów w obszarze: leczenie zabiegowe chirurgiczne warunkujących kwalifikację do SOLO I z 250 na 150, zmniejszenie liczby zabiegów w  obszarze: leczenie zabiegowe chirurgiczne warunkujących kwalifikację do SOLO II z  250  na 200, obniżenie minimalnej liczby zabiegów wg poszczególnych rozpoznań dla 13  wskazanych grup nowotworów.</w:t>
      </w:r>
    </w:p>
    <w:p w14:paraId="42024418" w14:textId="15EC98C7" w:rsidR="000275FC" w:rsidRDefault="00BC36D0" w:rsidP="000275FC">
      <w:pPr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36D0">
        <w:rPr>
          <w:rFonts w:asciiTheme="minorHAnsi" w:hAnsiTheme="minorHAnsi" w:cstheme="minorHAnsi"/>
          <w:sz w:val="24"/>
          <w:szCs w:val="24"/>
        </w:rPr>
        <w:t>W kolejnej wersji  projektu rozporządzenia konsultowanej w listopadzie 2023 r. utrzymano liczbę zabiegów chirurgicznych (po 250 w roku przed kwalifikacją do sieci dla SOLO I i  SOLO  II oraz 500 dla SOLO III) oraz rozszerzono liczbę grup nowotworów z  13  do 16</w:t>
      </w:r>
    </w:p>
    <w:p w14:paraId="390FF82B" w14:textId="48A6CC8E" w:rsidR="00BC36D0" w:rsidRPr="00BC36D0" w:rsidRDefault="00BC36D0" w:rsidP="003D778E">
      <w:pPr>
        <w:spacing w:after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36D0">
        <w:rPr>
          <w:rFonts w:asciiTheme="minorHAnsi" w:hAnsiTheme="minorHAnsi" w:cstheme="minorHAnsi"/>
          <w:color w:val="000000"/>
          <w:sz w:val="24"/>
          <w:szCs w:val="24"/>
        </w:rPr>
        <w:lastRenderedPageBreak/>
        <w:t>Na podstawie projektu rozporządzenia określającego szczegółowe kryteria kwalifikacji do poszczególnych poziomów KSO, który był konsultowany pod koniec listopada 2023  r. można wstępnie ocenić, że:</w:t>
      </w:r>
    </w:p>
    <w:p w14:paraId="04EC6353" w14:textId="12F9C04F" w:rsidR="00BC36D0" w:rsidRPr="00BC36D0" w:rsidRDefault="00BC36D0" w:rsidP="003D778E">
      <w:pPr>
        <w:spacing w:after="120"/>
        <w:ind w:left="34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36D0">
        <w:rPr>
          <w:rFonts w:asciiTheme="minorHAnsi" w:hAnsiTheme="minorHAnsi" w:cstheme="minorHAnsi"/>
          <w:color w:val="000000"/>
          <w:sz w:val="24"/>
          <w:szCs w:val="24"/>
        </w:rPr>
        <w:t>1)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ab/>
        <w:t>Wojewódzki Szpital im. Św. o. Pio w Przemyślu spełnia wymagania dla SOLO II w  zakresie liczby i kwalifikacji personelu oraz liczby wykonywanych zabiegów z  rozpoznaniami nowotworowymi – w 2023 zwiększono liczbę zabiegów w zakresie nowotworów jelita grubego (wykonano 76 operacji) oraz gruczołu krokowego (wykonano 77 operacji) osiągając minimalne liczby zabiegów wskazane w  rozporządzeniu w tych rozpoznaniach.</w:t>
      </w:r>
    </w:p>
    <w:p w14:paraId="186BA6B5" w14:textId="641A9AB1" w:rsidR="00BC36D0" w:rsidRPr="00BC36D0" w:rsidRDefault="00BC36D0" w:rsidP="003D778E">
      <w:pPr>
        <w:spacing w:after="120"/>
        <w:ind w:left="34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36D0">
        <w:rPr>
          <w:rFonts w:asciiTheme="minorHAnsi" w:hAnsiTheme="minorHAnsi" w:cstheme="minorHAnsi"/>
          <w:color w:val="000000"/>
          <w:sz w:val="24"/>
          <w:szCs w:val="24"/>
        </w:rPr>
        <w:t>2)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Istnieje obawa, że Wojewódzki Szpital im. Zofii Zamoyskiej z Tarnowskich w  Tarnobrzegu nie spełni wymagań szczegółowych kwalifikacji do SOLO III obejmujących liczbę i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>kwalifikacje personelu oraz działające w strukturze szpitala komórki organizacyjne oraz liczbę wykonywanych zabiegów chirurgicznych/liczbę zabiegów według rozpoznań - wąski zakres zabiegów chirurgicznych, w tym onkologicznych. W strukturze szpi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tala brak jest pracowni brachyterapii i pracowni medycyny nuklearnej. Nadal jeszcze wąski jest zakres zabiegów chirurgicznych, w tym onkologicznych – w 2023 wykonano 189 operacji z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rozpoznaniem nowotworowym na 311 diagnoz w podmiocie (w tym 169 zabiegów z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205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diagnoz w chirurgii, 17 zabiegów z 41 diagnoz w otolaryngologii, 3 zabiegi z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21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diagnoz w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ginekologii). Szpital nawiązuje współpracę z okolicznymi szpitalami powiatowymi oraz szpitalami wojewódzkimi w  zakresie świadczeń dla pacjentów w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radioterapii i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chemioterapii oraz konsultacji i konsyliów onkologicznych. </w:t>
      </w:r>
    </w:p>
    <w:p w14:paraId="6312192C" w14:textId="39B8219B" w:rsidR="00BC36D0" w:rsidRPr="00BC36D0" w:rsidRDefault="00BC36D0" w:rsidP="003D778E">
      <w:pPr>
        <w:spacing w:after="120"/>
        <w:ind w:left="34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36D0">
        <w:rPr>
          <w:rFonts w:asciiTheme="minorHAnsi" w:hAnsiTheme="minorHAnsi" w:cstheme="minorHAnsi"/>
          <w:color w:val="000000"/>
          <w:sz w:val="24"/>
          <w:szCs w:val="24"/>
        </w:rPr>
        <w:t>3)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Wojewódzki Szpital Podkarpacki im. Św. Jana Pawła II w Krośnie prowadzi diagnostykę onkologiczną, jednak świadczeniobiorcy wybierają inne ośrodki do poddania się zabiegom operacyjnym – z uwagi na kompleksowość realizowanych świadczeń i doświadczenie ośrodka przede wszystkim Szpital Specjalistyczny w  Brzozowie Podkarpacki Ośrodek Onkologiczny im. Ks. B. Markiewicza. Ograniczeniem jest przede wszystkim stosunkowo wąski zakres wykonywanych zabiegów operacyjnych, w tym onkologicznych oraz zaawansowany wiek kadry lekarskiej części 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oddziałów zabiegowych. W 2023 roku na 410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potwierdzonych nowotworów w badaniach patomorfologicznych wykonano 159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zabiegów (w tym 100 zabiegów z 261 diagnoz w urologii, 3 zabiegi z 16 diagnoz w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>ginekologii, 46  zabiegów z 73 diagnoz w chirurgii).</w:t>
      </w:r>
    </w:p>
    <w:p w14:paraId="221D0DC6" w14:textId="6FF654BB" w:rsidR="00BC36D0" w:rsidRPr="00BC36D0" w:rsidRDefault="00BC36D0" w:rsidP="003D778E">
      <w:pPr>
        <w:spacing w:after="120"/>
        <w:ind w:left="34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36D0">
        <w:rPr>
          <w:rFonts w:asciiTheme="minorHAnsi" w:hAnsiTheme="minorHAnsi" w:cstheme="minorHAnsi"/>
          <w:color w:val="000000"/>
          <w:sz w:val="24"/>
          <w:szCs w:val="24"/>
        </w:rPr>
        <w:t>4)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ab/>
        <w:t xml:space="preserve">Kliniczny Szpital Wojewódzki Nr 2 im. Św. Jadwigi Królowej w Rzeszowie pod względem kadry oraz liczby i zakresu wykonywanych zabiegów spełnia wymagania dla SOLO I. W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szpitalu działa od grudnia 2014 roku Klinika Onkohematologii Dziecięcej, która jest jedynym tego typu ośrodkiem w województwie (funkcjonuje także Poradnia hematologiczna dla dzieci). Klinika posiada 15 łóżek stacjonarnych i 4 dziennie i prowadzi diagnostykę i specjalistyczne leczenie chorób nowotworowych i hematologicznych wieku dziecięcego m.in.: nowotwory układu krwiotwórczego, choroby hematologiczne, nowotwory lite. W ramach ośrodka funkcjonuje nowoczesna pracownia cytostatyków. W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Klinice rocznie leczonych jest ok. 600 pacjentów w ramach lecznictwa stacjonarnego i </w:t>
      </w:r>
      <w:r>
        <w:rPr>
          <w:rFonts w:asciiTheme="minorHAnsi" w:hAnsiTheme="minorHAnsi" w:cstheme="minorHAnsi"/>
          <w:color w:val="000000"/>
          <w:sz w:val="24"/>
          <w:szCs w:val="24"/>
        </w:rPr>
        <w:t> 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 xml:space="preserve">ambulatoryjnego z  województwa podkarpackiego i innych regionów. </w:t>
      </w:r>
    </w:p>
    <w:p w14:paraId="4555324F" w14:textId="60FBF33A" w:rsidR="00BC36D0" w:rsidRPr="00547AEB" w:rsidRDefault="00BC36D0" w:rsidP="00547AEB">
      <w:pPr>
        <w:spacing w:after="0"/>
        <w:ind w:left="340" w:hanging="34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BC36D0">
        <w:rPr>
          <w:rFonts w:asciiTheme="minorHAnsi" w:hAnsiTheme="minorHAnsi" w:cstheme="minorHAnsi"/>
          <w:color w:val="000000"/>
          <w:sz w:val="24"/>
          <w:szCs w:val="24"/>
        </w:rPr>
        <w:lastRenderedPageBreak/>
        <w:t>5)</w:t>
      </w:r>
      <w:r w:rsidRPr="00BC36D0">
        <w:rPr>
          <w:rFonts w:asciiTheme="minorHAnsi" w:hAnsiTheme="minorHAnsi" w:cstheme="minorHAnsi"/>
          <w:color w:val="000000"/>
          <w:sz w:val="24"/>
          <w:szCs w:val="24"/>
        </w:rPr>
        <w:tab/>
        <w:t>Wojewódzki Zespół Specjalistyczny w Rzeszowie kwalifikuje się jako ośrodek kooperacyjny dzięki działającym w strukturze Zakładowi Medycyny Nuklearnej z  gammakamerą, poradni chirurgii onkologicznej oraz poradni onkologicznej.</w:t>
      </w:r>
    </w:p>
    <w:p w14:paraId="07ACFFDA" w14:textId="3F7AB198" w:rsidR="005B684D" w:rsidRPr="00547AEB" w:rsidRDefault="005B684D" w:rsidP="00DE4AD5">
      <w:pPr>
        <w:pStyle w:val="Nagwek3"/>
      </w:pPr>
      <w:r w:rsidRPr="00547AEB">
        <w:t>Ustawa o jakości w opiece zdrowotnej i bezpieczeństwie pacjenta</w:t>
      </w:r>
    </w:p>
    <w:p w14:paraId="00E7348F" w14:textId="5840F75C" w:rsidR="00E940F1" w:rsidRPr="00547AEB" w:rsidRDefault="003B335A" w:rsidP="00E940F1">
      <w:pPr>
        <w:jc w:val="both"/>
        <w:rPr>
          <w:rFonts w:asciiTheme="minorHAnsi" w:hAnsiTheme="minorHAnsi" w:cstheme="minorHAnsi"/>
          <w:sz w:val="24"/>
          <w:szCs w:val="24"/>
        </w:rPr>
      </w:pPr>
      <w:r w:rsidRPr="00547AEB">
        <w:rPr>
          <w:rFonts w:asciiTheme="minorHAnsi" w:hAnsiTheme="minorHAnsi" w:cstheme="minorHAnsi"/>
          <w:sz w:val="24"/>
          <w:szCs w:val="24"/>
        </w:rPr>
        <w:t>We wrześniu 2023 roku weszł</w:t>
      </w:r>
      <w:r w:rsidR="00547AEB">
        <w:rPr>
          <w:rFonts w:asciiTheme="minorHAnsi" w:hAnsiTheme="minorHAnsi" w:cstheme="minorHAnsi"/>
          <w:sz w:val="24"/>
          <w:szCs w:val="24"/>
        </w:rPr>
        <w:t>a</w:t>
      </w:r>
      <w:r w:rsidRPr="00547AEB">
        <w:rPr>
          <w:rFonts w:asciiTheme="minorHAnsi" w:hAnsiTheme="minorHAnsi" w:cstheme="minorHAnsi"/>
          <w:sz w:val="24"/>
          <w:szCs w:val="24"/>
        </w:rPr>
        <w:t xml:space="preserve"> w życie ustawa o jakości w opiece zdrowotnej i </w:t>
      </w:r>
      <w:r w:rsidR="003B162B" w:rsidRPr="00547AEB">
        <w:rPr>
          <w:rFonts w:asciiTheme="minorHAnsi" w:hAnsiTheme="minorHAnsi" w:cstheme="minorHAnsi"/>
          <w:sz w:val="24"/>
          <w:szCs w:val="24"/>
        </w:rPr>
        <w:t> </w:t>
      </w:r>
      <w:r w:rsidRPr="00547AEB">
        <w:rPr>
          <w:rFonts w:asciiTheme="minorHAnsi" w:hAnsiTheme="minorHAnsi" w:cstheme="minorHAnsi"/>
          <w:sz w:val="24"/>
          <w:szCs w:val="24"/>
        </w:rPr>
        <w:t>bezpieczeństwie pacjenta (Dz.U.</w:t>
      </w:r>
      <w:r w:rsidR="00E940F1" w:rsidRPr="00547AEB">
        <w:rPr>
          <w:rFonts w:asciiTheme="minorHAnsi" w:hAnsiTheme="minorHAnsi" w:cstheme="minorHAnsi"/>
          <w:sz w:val="24"/>
          <w:szCs w:val="24"/>
        </w:rPr>
        <w:t xml:space="preserve"> </w:t>
      </w:r>
      <w:r w:rsidRPr="00547AEB">
        <w:rPr>
          <w:rFonts w:asciiTheme="minorHAnsi" w:hAnsiTheme="minorHAnsi" w:cstheme="minorHAnsi"/>
          <w:sz w:val="24"/>
          <w:szCs w:val="24"/>
        </w:rPr>
        <w:t>2023</w:t>
      </w:r>
      <w:r w:rsidR="00E940F1" w:rsidRPr="00547AEB">
        <w:rPr>
          <w:rFonts w:asciiTheme="minorHAnsi" w:hAnsiTheme="minorHAnsi" w:cstheme="minorHAnsi"/>
          <w:sz w:val="24"/>
          <w:szCs w:val="24"/>
        </w:rPr>
        <w:t xml:space="preserve">, poz. </w:t>
      </w:r>
      <w:r w:rsidRPr="00547AEB">
        <w:rPr>
          <w:rFonts w:asciiTheme="minorHAnsi" w:hAnsiTheme="minorHAnsi" w:cstheme="minorHAnsi"/>
          <w:sz w:val="24"/>
          <w:szCs w:val="24"/>
        </w:rPr>
        <w:t>1692)</w:t>
      </w:r>
      <w:r w:rsidR="00547AEB">
        <w:rPr>
          <w:rFonts w:asciiTheme="minorHAnsi" w:hAnsiTheme="minorHAnsi" w:cstheme="minorHAnsi"/>
          <w:sz w:val="24"/>
          <w:szCs w:val="24"/>
        </w:rPr>
        <w:t>,</w:t>
      </w:r>
      <w:r w:rsidRPr="00547AEB">
        <w:rPr>
          <w:rFonts w:asciiTheme="minorHAnsi" w:hAnsiTheme="minorHAnsi" w:cstheme="minorHAnsi"/>
          <w:sz w:val="24"/>
          <w:szCs w:val="24"/>
        </w:rPr>
        <w:t xml:space="preserve"> któr</w:t>
      </w:r>
      <w:r w:rsidR="00547AEB">
        <w:rPr>
          <w:rFonts w:asciiTheme="minorHAnsi" w:hAnsiTheme="minorHAnsi" w:cstheme="minorHAnsi"/>
          <w:sz w:val="24"/>
          <w:szCs w:val="24"/>
        </w:rPr>
        <w:t>a</w:t>
      </w:r>
      <w:r w:rsidRPr="00547AEB">
        <w:rPr>
          <w:rFonts w:asciiTheme="minorHAnsi" w:hAnsiTheme="minorHAnsi" w:cstheme="minorHAnsi"/>
          <w:sz w:val="24"/>
          <w:szCs w:val="24"/>
        </w:rPr>
        <w:t xml:space="preserve"> nakłada na placówki medyczne szereg zadań związanych z  zapewnieniem jakości w opiece nad pacjentem i </w:t>
      </w:r>
      <w:r w:rsidR="0025134F" w:rsidRPr="00547AEB">
        <w:rPr>
          <w:rFonts w:asciiTheme="minorHAnsi" w:hAnsiTheme="minorHAnsi" w:cstheme="minorHAnsi"/>
          <w:sz w:val="24"/>
          <w:szCs w:val="24"/>
        </w:rPr>
        <w:t> </w:t>
      </w:r>
      <w:r w:rsidRPr="00547AEB">
        <w:rPr>
          <w:rFonts w:asciiTheme="minorHAnsi" w:hAnsiTheme="minorHAnsi" w:cstheme="minorHAnsi"/>
          <w:sz w:val="24"/>
          <w:szCs w:val="24"/>
        </w:rPr>
        <w:t>udzielaniem świadczeń zdrowotnych.</w:t>
      </w:r>
      <w:r w:rsidR="00E940F1" w:rsidRPr="00547AEB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B3DA692" w14:textId="05C8BC29" w:rsidR="00E940F1" w:rsidRPr="00E940F1" w:rsidRDefault="00E940F1" w:rsidP="0025134F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47AEB">
        <w:rPr>
          <w:rFonts w:asciiTheme="minorHAnsi" w:hAnsiTheme="minorHAnsi" w:cstheme="minorHAnsi"/>
          <w:sz w:val="24"/>
          <w:szCs w:val="24"/>
        </w:rPr>
        <w:t>C</w:t>
      </w:r>
      <w:r w:rsidRPr="00E940F1">
        <w:rPr>
          <w:rFonts w:asciiTheme="minorHAnsi" w:hAnsiTheme="minorHAnsi" w:cstheme="minorHAnsi"/>
          <w:sz w:val="24"/>
          <w:szCs w:val="24"/>
        </w:rPr>
        <w:t xml:space="preserve">elem ustawy </w:t>
      </w:r>
      <w:r w:rsidRPr="00547AEB">
        <w:rPr>
          <w:rFonts w:asciiTheme="minorHAnsi" w:hAnsiTheme="minorHAnsi" w:cstheme="minorHAnsi"/>
          <w:sz w:val="24"/>
          <w:szCs w:val="24"/>
        </w:rPr>
        <w:t xml:space="preserve">o jakości </w:t>
      </w:r>
      <w:r w:rsidRPr="00E940F1">
        <w:rPr>
          <w:rFonts w:asciiTheme="minorHAnsi" w:hAnsiTheme="minorHAnsi" w:cstheme="minorHAnsi"/>
          <w:sz w:val="24"/>
          <w:szCs w:val="24"/>
        </w:rPr>
        <w:t>jest wdrożenie rozwiązań prawno</w:t>
      </w:r>
      <w:r w:rsidRPr="00E940F1">
        <w:rPr>
          <w:rFonts w:asciiTheme="minorHAnsi" w:hAnsiTheme="minorHAnsi" w:cstheme="minorHAnsi"/>
          <w:sz w:val="24"/>
          <w:szCs w:val="24"/>
        </w:rPr>
        <w:softHyphen/>
      </w:r>
      <w:r w:rsidRPr="00E940F1">
        <w:rPr>
          <w:rFonts w:asciiTheme="minorHAnsi" w:hAnsiTheme="minorHAnsi" w:cstheme="minorHAnsi"/>
          <w:sz w:val="24"/>
          <w:szCs w:val="24"/>
        </w:rPr>
        <w:noBreakHyphen/>
        <w:t>organizacyjnych, które w sposób kompleksowy i skoordynowany będą realizowały priorytety polityki zdrowotnej w obszarze jakości w ochronie zdrowia. System jakości w opiece zdrowotnej i bezpieczeństwa pacjenta będzie się składał z czterech elementów:</w:t>
      </w:r>
    </w:p>
    <w:p w14:paraId="572BED87" w14:textId="77777777" w:rsidR="00E940F1" w:rsidRPr="00E940F1" w:rsidRDefault="00E940F1" w:rsidP="00E940F1">
      <w:pPr>
        <w:numPr>
          <w:ilvl w:val="0"/>
          <w:numId w:val="29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940F1">
        <w:rPr>
          <w:rFonts w:asciiTheme="minorHAnsi" w:eastAsia="Times New Roman" w:hAnsiTheme="minorHAnsi" w:cstheme="minorHAnsi"/>
          <w:sz w:val="24"/>
          <w:szCs w:val="24"/>
          <w:lang w:eastAsia="pl-PL"/>
        </w:rPr>
        <w:t>autoryzacji;</w:t>
      </w:r>
    </w:p>
    <w:p w14:paraId="4B44409D" w14:textId="77777777" w:rsidR="00E940F1" w:rsidRPr="00E940F1" w:rsidRDefault="00E940F1" w:rsidP="00E940F1">
      <w:pPr>
        <w:numPr>
          <w:ilvl w:val="0"/>
          <w:numId w:val="29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940F1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wewnętrznego systemu zarządzania jakością i bezpieczeństwem;</w:t>
      </w:r>
    </w:p>
    <w:p w14:paraId="146FA872" w14:textId="77777777" w:rsidR="00E940F1" w:rsidRPr="00E940F1" w:rsidRDefault="00E940F1" w:rsidP="00E940F1">
      <w:pPr>
        <w:numPr>
          <w:ilvl w:val="0"/>
          <w:numId w:val="29"/>
        </w:numPr>
        <w:spacing w:after="0"/>
        <w:ind w:left="75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940F1">
        <w:rPr>
          <w:rFonts w:asciiTheme="minorHAnsi" w:eastAsia="Times New Roman" w:hAnsiTheme="minorHAnsi" w:cstheme="minorHAnsi"/>
          <w:sz w:val="24"/>
          <w:szCs w:val="24"/>
          <w:lang w:eastAsia="pl-PL"/>
        </w:rPr>
        <w:t>akredytacji;</w:t>
      </w:r>
    </w:p>
    <w:p w14:paraId="1A9DD5FD" w14:textId="77777777" w:rsidR="00E940F1" w:rsidRPr="00547AEB" w:rsidRDefault="00E940F1" w:rsidP="00547AEB">
      <w:pPr>
        <w:numPr>
          <w:ilvl w:val="0"/>
          <w:numId w:val="29"/>
        </w:numPr>
        <w:spacing w:after="120"/>
        <w:ind w:left="754" w:hanging="357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E940F1">
        <w:rPr>
          <w:rFonts w:asciiTheme="minorHAnsi" w:eastAsia="Times New Roman" w:hAnsiTheme="minorHAnsi" w:cstheme="minorHAnsi"/>
          <w:sz w:val="24"/>
          <w:szCs w:val="24"/>
          <w:lang w:eastAsia="pl-PL"/>
        </w:rPr>
        <w:t>rejestrów medycznych w rozumieniu art. 2 pkt 12 ustawy z dnia 28 kwietnia 2011 r. o systemie informacji w ochronie zdrowia.</w:t>
      </w:r>
    </w:p>
    <w:p w14:paraId="6A68F53B" w14:textId="78400D44" w:rsidR="00547AEB" w:rsidRDefault="00E940F1" w:rsidP="0025134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547AE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związku z wejściem w życie ustawy konieczne jest wydanie aktów wykonawczych – trwają obecnie konsultacje </w:t>
      </w:r>
      <w:r w:rsidRPr="00547AEB">
        <w:rPr>
          <w:rFonts w:asciiTheme="minorHAnsi" w:hAnsiTheme="minorHAnsi" w:cstheme="minorHAnsi"/>
          <w:sz w:val="24"/>
          <w:szCs w:val="24"/>
        </w:rPr>
        <w:t>projektu rozporządzenia Ministra Zdrowia w sprawie określenia szczegółowego sposobu przeprowadzenia procedury oceniającej, wzoru certyfikatu akredytacyjnego oraz sposobu obliczenia wysokości opłat za przeprowadzenie procedury oceniającej</w:t>
      </w:r>
      <w:r w:rsidR="0025134F" w:rsidRPr="00547AEB">
        <w:rPr>
          <w:rFonts w:asciiTheme="minorHAnsi" w:hAnsiTheme="minorHAnsi" w:cstheme="minorHAnsi"/>
          <w:sz w:val="24"/>
          <w:szCs w:val="24"/>
        </w:rPr>
        <w:t xml:space="preserve"> (numer w wykazie prac legislacyjnych Ministra Zdrowia: MZ 1590)</w:t>
      </w:r>
      <w:r w:rsidRPr="00547AEB">
        <w:rPr>
          <w:rFonts w:asciiTheme="minorHAnsi" w:hAnsiTheme="minorHAnsi" w:cstheme="minorHAnsi"/>
          <w:sz w:val="24"/>
          <w:szCs w:val="24"/>
        </w:rPr>
        <w:t xml:space="preserve">. </w:t>
      </w:r>
      <w:r w:rsidR="0025134F" w:rsidRPr="00547AEB">
        <w:rPr>
          <w:rFonts w:asciiTheme="minorHAnsi" w:hAnsiTheme="minorHAnsi" w:cstheme="minorHAnsi"/>
          <w:sz w:val="24"/>
          <w:szCs w:val="24"/>
        </w:rPr>
        <w:t xml:space="preserve">Celem projektu rozporządzenia jest wdrożenie rozwiązań prawno-organizacyjnych, które w sposób kompleksowy i transparentny określą zasady przeprowadzania procedury akredytacyjnej przez ośrodek akredytacyjny. Założeniem proponowanych rozwiązań jest usprawnienie procedury udzielania akredytacji w ochronie zdrowia, co w </w:t>
      </w:r>
      <w:r w:rsidR="0025134F" w:rsidRPr="00547AEB">
        <w:rPr>
          <w:rFonts w:asciiTheme="minorHAnsi" w:hAnsiTheme="minorHAnsi" w:cstheme="minorHAnsi"/>
          <w:sz w:val="24"/>
          <w:szCs w:val="24"/>
        </w:rPr>
        <w:lastRenderedPageBreak/>
        <w:t>efekcie powinno doprowadzić do stworzenie warunków do systematycznej oceny jakości świadczeń opieki zdrowotnej finansowanych ze środków publicznych i upubliczniania tych informacji, a także umożliwić porównywanie podmiotów udzielających świadczeń pod względem jakości i skuteczności oferowanej opieki. Średni czas przeglądu akredytacyjnego szpitala to trzy dni, a jednostki podstawowej opieki zdrowotnej: dwa lub jeden dzień. Koszt procesu przeglądu akredytacyjnego w przypadku szpitala to co najmniej 30 tys. zł, a POZ od 17 tys. zł do blisko 33  tys. zł. Szpitale poniosą opłatę w zależności od liczby łóżek, a POZ od liczby pacjentów - tak jak do tej pory.</w:t>
      </w:r>
    </w:p>
    <w:p w14:paraId="09DC1905" w14:textId="77777777" w:rsidR="00547AEB" w:rsidRPr="00547AEB" w:rsidRDefault="00547AEB" w:rsidP="00547AEB">
      <w:pPr>
        <w:pStyle w:val="Nagwek3"/>
      </w:pPr>
      <w:r w:rsidRPr="00547AEB">
        <w:t>Fundusz Kompensacyjny</w:t>
      </w:r>
      <w:r>
        <w:t xml:space="preserve"> </w:t>
      </w:r>
      <w:r w:rsidRPr="00547AEB">
        <w:t>Zdarzeń Medycznych</w:t>
      </w:r>
    </w:p>
    <w:p w14:paraId="01147BC0" w14:textId="1D91AA6F" w:rsidR="00547AEB" w:rsidRPr="00547AEB" w:rsidRDefault="00547AEB" w:rsidP="00547AE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47AEB">
        <w:rPr>
          <w:rFonts w:asciiTheme="minorHAnsi" w:hAnsiTheme="minorHAnsi" w:cstheme="minorHAnsi"/>
          <w:sz w:val="24"/>
          <w:szCs w:val="24"/>
        </w:rPr>
        <w:t>We wrześniu 2023 roku weszła w życie ustawa o zmianie ustawy o prawach pacjenta i  niektórych innych ustaw (Dz.U. 2023, poz. 1675), na podstawie której utworzony został Fundusz Kompensacyjny Zdarzeń Medycznych.</w:t>
      </w:r>
    </w:p>
    <w:p w14:paraId="04570C69" w14:textId="124E416C" w:rsidR="00547AEB" w:rsidRPr="00547AEB" w:rsidRDefault="00547AEB" w:rsidP="00547AE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547AEB">
        <w:rPr>
          <w:rFonts w:asciiTheme="minorHAnsi" w:hAnsiTheme="minorHAnsi" w:cstheme="minorHAnsi"/>
          <w:sz w:val="24"/>
          <w:szCs w:val="24"/>
        </w:rPr>
        <w:t xml:space="preserve">Fundusz ułatwia uzyskanie rekompensaty finansowej przez osoby, które podczas pobytu w  szpitalu doznały uszkodzenia </w:t>
      </w:r>
      <w:r w:rsidRPr="00547AEB">
        <w:rPr>
          <w:rFonts w:asciiTheme="minorHAnsi" w:hAnsiTheme="minorHAnsi" w:cstheme="minorHAnsi"/>
          <w:sz w:val="24"/>
          <w:szCs w:val="24"/>
        </w:rPr>
        <w:lastRenderedPageBreak/>
        <w:t xml:space="preserve">ciała, rozstroju zdrowia lub uległy zakażeniu szpitalnemu. </w:t>
      </w:r>
      <w:r w:rsidRPr="00547AE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Uzyskanie świadczenia nie wymaga udowodnienia winy placówki medycznej.</w:t>
      </w:r>
      <w:r w:rsidRPr="00547AEB">
        <w:rPr>
          <w:rFonts w:asciiTheme="minorHAnsi" w:hAnsiTheme="minorHAnsi" w:cstheme="minorHAnsi"/>
          <w:sz w:val="24"/>
          <w:szCs w:val="24"/>
        </w:rPr>
        <w:t xml:space="preserve"> Podstawowym warunkiem pozytywnej decyzji </w:t>
      </w:r>
      <w:r w:rsidRPr="00547AEB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>jest stwierdzenie, że doszło do zdarzenia, którego z wysokim prawdopodobieństwem można było uniknąć</w:t>
      </w:r>
      <w:r w:rsidRPr="00547AEB">
        <w:rPr>
          <w:rFonts w:asciiTheme="minorHAnsi" w:hAnsiTheme="minorHAnsi" w:cstheme="minorHAnsi"/>
          <w:sz w:val="24"/>
          <w:szCs w:val="24"/>
        </w:rPr>
        <w:t>, gdyby świadczenie zdrowotne zostało pacjentowi udzielone zgodnie z aktualną wiedzą medyczną albo gdyby zastosowano inną dostępną metodę diagnostyczną lub leczniczą.</w:t>
      </w:r>
    </w:p>
    <w:p w14:paraId="1A83CCBF" w14:textId="77777777" w:rsidR="00547AEB" w:rsidRPr="00547AEB" w:rsidRDefault="00547AEB" w:rsidP="00547AEB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547AEB">
        <w:rPr>
          <w:rFonts w:asciiTheme="minorHAnsi" w:hAnsiTheme="minorHAnsi" w:cstheme="minorHAnsi"/>
        </w:rPr>
        <w:t>Maksymalna kwota rekompensaty dla pacjenta wynosi 200 tys. złotych. W razie śmierci pacjenta świadczenie wynosi do 100 tys. złotych dla każdej uprawnionej osoby. Z wnioskami o przyznanie świadczenia mogą w takim przypadku wystąpić dzieci pacjenta, jego rodzice oraz małżonek lub partner (konkubent).</w:t>
      </w:r>
    </w:p>
    <w:p w14:paraId="76D3AE26" w14:textId="77777777" w:rsidR="003D778E" w:rsidRDefault="00547AEB" w:rsidP="003D778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</w:rPr>
      </w:pPr>
      <w:r w:rsidRPr="00547AEB">
        <w:rPr>
          <w:rStyle w:val="Pogrubienie"/>
          <w:rFonts w:asciiTheme="minorHAnsi" w:eastAsia="Calibri" w:hAnsiTheme="minorHAnsi" w:cstheme="minorHAnsi"/>
          <w:b w:val="0"/>
          <w:bCs w:val="0"/>
        </w:rPr>
        <w:t>Fundusz Kompensacyjny obejmuje zdarzenia, które miały miejsce po wejściu w życie ustawy, a także zdarzenia wcześniejsze, jeżeli pacjent dowiedział się o szkodzie już po tej dacie, czyli nie wcześniej niż 6 września 2023 roku.</w:t>
      </w:r>
      <w:r w:rsidRPr="00547AEB">
        <w:rPr>
          <w:rFonts w:asciiTheme="minorHAnsi" w:hAnsiTheme="minorHAnsi" w:cstheme="minorHAnsi"/>
        </w:rPr>
        <w:t xml:space="preserve"> Wniosek do Rzecznika Praw Pacjenta można złożyć w </w:t>
      </w:r>
      <w:r>
        <w:rPr>
          <w:rFonts w:asciiTheme="minorHAnsi" w:hAnsiTheme="minorHAnsi" w:cstheme="minorHAnsi"/>
        </w:rPr>
        <w:t> </w:t>
      </w:r>
      <w:r w:rsidRPr="00547AEB">
        <w:rPr>
          <w:rFonts w:asciiTheme="minorHAnsi" w:hAnsiTheme="minorHAnsi" w:cstheme="minorHAnsi"/>
        </w:rPr>
        <w:t>ciągu roku od uzyskania informacji o zdarzeniu, jednak nie później niż w ciągu 3 lat od daty zdarzenia.</w:t>
      </w:r>
    </w:p>
    <w:p w14:paraId="513D3A45" w14:textId="77777777" w:rsidR="003411A4" w:rsidRDefault="003411A4" w:rsidP="003411A4">
      <w:pPr>
        <w:pStyle w:val="Nagwek3"/>
      </w:pPr>
      <w:r w:rsidRPr="003411A4">
        <w:lastRenderedPageBreak/>
        <w:t>Zmiany w składce zdrowotnej dla przedsiębiorców</w:t>
      </w:r>
    </w:p>
    <w:p w14:paraId="6EF9A5F6" w14:textId="2CDCD3AF" w:rsidR="003411A4" w:rsidRPr="00C10DE8" w:rsidRDefault="003411A4" w:rsidP="00C10DE8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Od 1 stycznia 2025 r. zmienią się zasady obliczania składki na ubezpieczenie zdrowotne przez przedsiębiorców</w:t>
      </w:r>
      <w:r w:rsidRPr="00C10DE8">
        <w:rPr>
          <w:rStyle w:val="Odwoanieprzypisudolnego"/>
          <w:rFonts w:asciiTheme="minorHAnsi" w:hAnsiTheme="minorHAnsi" w:cstheme="minorHAnsi"/>
          <w:sz w:val="24"/>
          <w:szCs w:val="24"/>
        </w:rPr>
        <w:footnoteReference w:id="15"/>
      </w:r>
      <w:r w:rsidRPr="00C10DE8">
        <w:rPr>
          <w:rFonts w:asciiTheme="minorHAnsi" w:hAnsiTheme="minorHAnsi" w:cstheme="minorHAnsi"/>
          <w:sz w:val="24"/>
          <w:szCs w:val="24"/>
        </w:rPr>
        <w:t>.</w:t>
      </w:r>
      <w:r w:rsidR="00C10DE8">
        <w:rPr>
          <w:rFonts w:asciiTheme="minorHAnsi" w:hAnsiTheme="minorHAnsi" w:cstheme="minorHAnsi"/>
          <w:sz w:val="24"/>
          <w:szCs w:val="24"/>
        </w:rPr>
        <w:t xml:space="preserve"> </w:t>
      </w:r>
      <w:r w:rsidRPr="00C10DE8">
        <w:rPr>
          <w:rFonts w:asciiTheme="minorHAnsi" w:hAnsiTheme="minorHAnsi" w:cstheme="minorHAnsi"/>
          <w:sz w:val="24"/>
          <w:szCs w:val="24"/>
        </w:rPr>
        <w:t>Na zmianach zyska 93% wszystkich przedsiębiorców PIT.</w:t>
      </w:r>
      <w:r w:rsidR="00C10DE8">
        <w:rPr>
          <w:rFonts w:asciiTheme="minorHAnsi" w:hAnsiTheme="minorHAnsi" w:cstheme="minorHAnsi"/>
          <w:sz w:val="24"/>
          <w:szCs w:val="24"/>
        </w:rPr>
        <w:t xml:space="preserve"> </w:t>
      </w:r>
      <w:r w:rsidRPr="00C10DE8">
        <w:rPr>
          <w:rFonts w:asciiTheme="minorHAnsi" w:hAnsiTheme="minorHAnsi" w:cstheme="minorHAnsi"/>
          <w:sz w:val="24"/>
          <w:szCs w:val="24"/>
        </w:rPr>
        <w:t>Wszyscy drobni przedsiębiorcy – w zakresie składki na ubezpieczenie zdrowotne – będą mieli równe warunki prowadzenia działalności gospodarczej.</w:t>
      </w:r>
      <w:r w:rsidR="00C10DE8">
        <w:rPr>
          <w:rFonts w:asciiTheme="minorHAnsi" w:hAnsiTheme="minorHAnsi" w:cstheme="minorHAnsi"/>
          <w:sz w:val="24"/>
          <w:szCs w:val="24"/>
        </w:rPr>
        <w:t xml:space="preserve"> </w:t>
      </w:r>
      <w:r w:rsidRPr="00C10DE8">
        <w:rPr>
          <w:rFonts w:asciiTheme="minorHAnsi" w:hAnsiTheme="minorHAnsi" w:cstheme="minorHAnsi"/>
          <w:sz w:val="24"/>
          <w:szCs w:val="24"/>
        </w:rPr>
        <w:t>Dzięki zmniejszeniu obowiązków rozliczeniowych system obliczania składek będzie bardziej przejrzysty.</w:t>
      </w:r>
      <w:r w:rsidR="00C10DE8">
        <w:rPr>
          <w:rFonts w:asciiTheme="minorHAnsi" w:hAnsiTheme="minorHAnsi" w:cstheme="minorHAnsi"/>
          <w:sz w:val="24"/>
          <w:szCs w:val="24"/>
        </w:rPr>
        <w:t xml:space="preserve"> </w:t>
      </w:r>
      <w:r w:rsidRPr="00C10DE8">
        <w:rPr>
          <w:rFonts w:asciiTheme="minorHAnsi" w:hAnsiTheme="minorHAnsi" w:cstheme="minorHAnsi"/>
          <w:sz w:val="24"/>
          <w:szCs w:val="24"/>
        </w:rPr>
        <w:t>Zlikwidowane zostanie płacenie składki zdrowotnej od zbycia środków trwałych.</w:t>
      </w:r>
    </w:p>
    <w:p w14:paraId="7A60CD11" w14:textId="3886BF88" w:rsidR="003411A4" w:rsidRPr="00C10DE8" w:rsidRDefault="003411A4" w:rsidP="00C10DE8">
      <w:pPr>
        <w:spacing w:after="12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 xml:space="preserve">W zależności od </w:t>
      </w:r>
      <w:r w:rsidR="00C10DE8" w:rsidRPr="00C10DE8">
        <w:rPr>
          <w:rFonts w:asciiTheme="minorHAnsi" w:hAnsiTheme="minorHAnsi" w:cstheme="minorHAnsi"/>
          <w:sz w:val="24"/>
          <w:szCs w:val="24"/>
        </w:rPr>
        <w:t>f</w:t>
      </w:r>
      <w:r w:rsidRPr="00C10DE8">
        <w:rPr>
          <w:rFonts w:asciiTheme="minorHAnsi" w:hAnsiTheme="minorHAnsi" w:cstheme="minorHAnsi"/>
          <w:sz w:val="24"/>
          <w:szCs w:val="24"/>
        </w:rPr>
        <w:t>ormy prowadzenia działalności w PIT</w:t>
      </w:r>
      <w:r w:rsidR="00C10DE8" w:rsidRPr="00C10DE8">
        <w:rPr>
          <w:rFonts w:asciiTheme="minorHAnsi" w:hAnsiTheme="minorHAnsi" w:cstheme="minorHAnsi"/>
          <w:sz w:val="24"/>
          <w:szCs w:val="24"/>
        </w:rPr>
        <w:t xml:space="preserve"> zmiany są następujące:</w:t>
      </w:r>
    </w:p>
    <w:p w14:paraId="6EA80B5F" w14:textId="41C9F95A" w:rsidR="003411A4" w:rsidRPr="00C10DE8" w:rsidRDefault="003411A4" w:rsidP="00C10DE8">
      <w:pPr>
        <w:pStyle w:val="Akapitzlist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skala podatkowa:</w:t>
      </w:r>
    </w:p>
    <w:p w14:paraId="221C5A3C" w14:textId="4DE1732F" w:rsidR="003411A4" w:rsidRPr="00C10DE8" w:rsidRDefault="00C10DE8" w:rsidP="00C10DE8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n</w:t>
      </w:r>
      <w:r w:rsidR="003411A4" w:rsidRPr="00C10DE8">
        <w:rPr>
          <w:rFonts w:asciiTheme="minorHAnsi" w:hAnsiTheme="minorHAnsi" w:cstheme="minorHAnsi"/>
          <w:sz w:val="24"/>
          <w:szCs w:val="24"/>
        </w:rPr>
        <w:t>iska, ryczałtowa składka wynosząca 9% od 75% minimalnego wynagrodzenia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dla wszystkich przedsiębiorców rozliczających się na skali podatkowej (1,3 mln)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25AC3BE5" w14:textId="17B79E89" w:rsidR="003411A4" w:rsidRPr="00C10DE8" w:rsidRDefault="00C10DE8" w:rsidP="00C10DE8">
      <w:pPr>
        <w:pStyle w:val="Akapitzlist"/>
        <w:numPr>
          <w:ilvl w:val="0"/>
          <w:numId w:val="21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3411A4" w:rsidRPr="00C10DE8">
        <w:rPr>
          <w:rFonts w:asciiTheme="minorHAnsi" w:hAnsiTheme="minorHAnsi" w:cstheme="minorHAnsi"/>
          <w:sz w:val="24"/>
          <w:szCs w:val="24"/>
        </w:rPr>
        <w:t xml:space="preserve"> warunkach roku 2025 oznacza to prognozowaną minimalną korzyść w wysokości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ok. 100 zł miesięcznie / ok. 1200 zł rocznie (w warunkach 2024 r. taka składka wynosiłaby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 xml:space="preserve">286,33 zł vs. 381,78 zł obecnie; od 2025 r. odpowiednio ok. 310 zł vs. ok. </w:t>
      </w:r>
      <w:r>
        <w:rPr>
          <w:rFonts w:asciiTheme="minorHAnsi" w:hAnsiTheme="minorHAnsi" w:cstheme="minorHAnsi"/>
          <w:sz w:val="24"/>
          <w:szCs w:val="24"/>
        </w:rPr>
        <w:t> </w:t>
      </w:r>
      <w:r w:rsidR="003411A4" w:rsidRPr="00C10DE8">
        <w:rPr>
          <w:rFonts w:asciiTheme="minorHAnsi" w:hAnsiTheme="minorHAnsi" w:cstheme="minorHAnsi"/>
          <w:sz w:val="24"/>
          <w:szCs w:val="24"/>
        </w:rPr>
        <w:t>410 zł)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5B828559" w14:textId="42C53CC1" w:rsidR="003411A4" w:rsidRPr="00C10DE8" w:rsidRDefault="003411A4" w:rsidP="00C10DE8">
      <w:pPr>
        <w:pStyle w:val="Akapitzlist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podatek liniowy:</w:t>
      </w:r>
    </w:p>
    <w:p w14:paraId="4B253B55" w14:textId="3D16CC54" w:rsidR="003411A4" w:rsidRPr="00C10DE8" w:rsidRDefault="00C10DE8" w:rsidP="00C10DE8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s</w:t>
      </w:r>
      <w:r w:rsidR="003411A4" w:rsidRPr="00C10DE8">
        <w:rPr>
          <w:rFonts w:asciiTheme="minorHAnsi" w:hAnsiTheme="minorHAnsi" w:cstheme="minorHAnsi"/>
          <w:sz w:val="24"/>
          <w:szCs w:val="24"/>
        </w:rPr>
        <w:t>tała, niska składka wynosząca 9% od 75% minimalnego wynagrodzenia do dochodu wynoszącego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2-krotność przeciętnego wynagrodzenia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29924C4F" w14:textId="0BEDCE7A" w:rsidR="003411A4" w:rsidRPr="00C10DE8" w:rsidRDefault="00C10DE8" w:rsidP="00C10DE8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w</w:t>
      </w:r>
      <w:r w:rsidR="003411A4" w:rsidRPr="00C10DE8">
        <w:rPr>
          <w:rFonts w:asciiTheme="minorHAnsi" w:hAnsiTheme="minorHAnsi" w:cstheme="minorHAnsi"/>
          <w:sz w:val="24"/>
          <w:szCs w:val="24"/>
        </w:rPr>
        <w:t xml:space="preserve"> warunkach roku 2025 oznacza to prognozowaną składkę zdrowotną niższą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o ok. 100 zł miesięcznie / ok. 1200 zł rocznie (w warunkach 2024 r. taka składka wynosiłaby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286,33 zł vs. 381,78 zł obecnie; od 2025 r. odpowiednio ok. 310 zł vs. ok. 410 zł)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768F432C" w14:textId="7A49BC97" w:rsidR="003411A4" w:rsidRPr="00C10DE8" w:rsidRDefault="00C10DE8" w:rsidP="00C10DE8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p</w:t>
      </w:r>
      <w:r w:rsidR="003411A4" w:rsidRPr="00C10DE8">
        <w:rPr>
          <w:rFonts w:asciiTheme="minorHAnsi" w:hAnsiTheme="minorHAnsi" w:cstheme="minorHAnsi"/>
          <w:sz w:val="24"/>
          <w:szCs w:val="24"/>
        </w:rPr>
        <w:t xml:space="preserve">o przekroczeniu 2-krotności przeciętnego wynagrodzenia składka wyniesie 4,9% od </w:t>
      </w:r>
      <w:r>
        <w:rPr>
          <w:rFonts w:asciiTheme="minorHAnsi" w:hAnsiTheme="minorHAnsi" w:cstheme="minorHAnsi"/>
          <w:sz w:val="24"/>
          <w:szCs w:val="24"/>
        </w:rPr>
        <w:t> </w:t>
      </w:r>
      <w:r w:rsidR="003411A4" w:rsidRPr="00C10DE8">
        <w:rPr>
          <w:rFonts w:asciiTheme="minorHAnsi" w:hAnsiTheme="minorHAnsi" w:cstheme="minorHAnsi"/>
          <w:sz w:val="24"/>
          <w:szCs w:val="24"/>
        </w:rPr>
        <w:t>nadwyżki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ponad 2-krotność przeciętnego wynagrodzenia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7110F388" w14:textId="26B76AFA" w:rsidR="003411A4" w:rsidRPr="00C10DE8" w:rsidRDefault="00C10DE8" w:rsidP="00C10DE8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m</w:t>
      </w:r>
      <w:r w:rsidR="003411A4" w:rsidRPr="00C10DE8">
        <w:rPr>
          <w:rFonts w:asciiTheme="minorHAnsi" w:hAnsiTheme="minorHAnsi" w:cstheme="minorHAnsi"/>
          <w:sz w:val="24"/>
          <w:szCs w:val="24"/>
        </w:rPr>
        <w:t>aksymalnie składka zdrowotna niższa o ok. 530 zł miesięcznie / 6360 zł rocznie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325B8EAF" w14:textId="658FD2F5" w:rsidR="003411A4" w:rsidRPr="00C10DE8" w:rsidRDefault="00C10DE8" w:rsidP="00C10DE8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lastRenderedPageBreak/>
        <w:t>m</w:t>
      </w:r>
      <w:r w:rsidR="003411A4" w:rsidRPr="00C10DE8">
        <w:rPr>
          <w:rFonts w:asciiTheme="minorHAnsi" w:hAnsiTheme="minorHAnsi" w:cstheme="minorHAnsi"/>
          <w:sz w:val="24"/>
          <w:szCs w:val="24"/>
        </w:rPr>
        <w:t>ożliwość opłacania składki w oparciu o 1/12 ostatniego wykazanego rocznego dochodu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7D7DA729" w14:textId="599CEE8C" w:rsidR="003411A4" w:rsidRPr="00C10DE8" w:rsidRDefault="00C10DE8" w:rsidP="00C10DE8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m</w:t>
      </w:r>
      <w:r w:rsidR="003411A4" w:rsidRPr="00C10DE8">
        <w:rPr>
          <w:rFonts w:asciiTheme="minorHAnsi" w:hAnsiTheme="minorHAnsi" w:cstheme="minorHAnsi"/>
          <w:sz w:val="24"/>
          <w:szCs w:val="24"/>
        </w:rPr>
        <w:t>ożliwość niewykazywania składki zdrowotnej od zbywanych środków trwałych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5882DD0F" w14:textId="74786020" w:rsidR="003411A4" w:rsidRPr="00C10DE8" w:rsidRDefault="00C10DE8" w:rsidP="00C10DE8">
      <w:pPr>
        <w:pStyle w:val="Akapitzlist"/>
        <w:numPr>
          <w:ilvl w:val="0"/>
          <w:numId w:val="22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l</w:t>
      </w:r>
      <w:r w:rsidR="003411A4" w:rsidRPr="00C10DE8">
        <w:rPr>
          <w:rFonts w:asciiTheme="minorHAnsi" w:hAnsiTheme="minorHAnsi" w:cstheme="minorHAnsi"/>
          <w:sz w:val="24"/>
          <w:szCs w:val="24"/>
        </w:rPr>
        <w:t>ikwidacja odliczenia składki zdrowotnej w PIT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2F676A62" w14:textId="0648F32D" w:rsidR="003411A4" w:rsidRPr="00C10DE8" w:rsidRDefault="003411A4" w:rsidP="00C10DE8">
      <w:pPr>
        <w:pStyle w:val="Akapitzlist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ryczałt od przychodów ewidencjonowanych:</w:t>
      </w:r>
    </w:p>
    <w:p w14:paraId="2E7C072B" w14:textId="227D4FF7" w:rsidR="003411A4" w:rsidRPr="00C10DE8" w:rsidRDefault="00C10DE8" w:rsidP="00C10DE8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s</w:t>
      </w:r>
      <w:r w:rsidR="003411A4" w:rsidRPr="00C10DE8">
        <w:rPr>
          <w:rFonts w:asciiTheme="minorHAnsi" w:hAnsiTheme="minorHAnsi" w:cstheme="minorHAnsi"/>
          <w:sz w:val="24"/>
          <w:szCs w:val="24"/>
        </w:rPr>
        <w:t>tała, niska składka wynosząca 9% od 75% minimalnego wynagrodzenia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do miesięcznego przychodu wynoszącego 4-krotność przeciętnego wynagrodzenia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16622EF7" w14:textId="1289542D" w:rsidR="003411A4" w:rsidRPr="00C10DE8" w:rsidRDefault="00C10DE8" w:rsidP="00C10DE8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p</w:t>
      </w:r>
      <w:r w:rsidR="003411A4" w:rsidRPr="00C10DE8">
        <w:rPr>
          <w:rFonts w:asciiTheme="minorHAnsi" w:hAnsiTheme="minorHAnsi" w:cstheme="minorHAnsi"/>
          <w:sz w:val="24"/>
          <w:szCs w:val="24"/>
        </w:rPr>
        <w:t>o przekroczeniu 4-krotności przeciętnego wynagrodzenia składka w wysokości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3,5% od nadwyżki ponad 4-krotność przeciętnego wynagrodzenia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41FAD227" w14:textId="298B75F0" w:rsidR="003411A4" w:rsidRPr="00C10DE8" w:rsidRDefault="00C10DE8" w:rsidP="00C10DE8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w</w:t>
      </w:r>
      <w:r w:rsidR="003411A4" w:rsidRPr="00C10DE8">
        <w:rPr>
          <w:rFonts w:asciiTheme="minorHAnsi" w:hAnsiTheme="minorHAnsi" w:cstheme="minorHAnsi"/>
          <w:sz w:val="24"/>
          <w:szCs w:val="24"/>
        </w:rPr>
        <w:t>yłączenie przychodów ze zbycia środków trwałych z podstawy obliczania składki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zdrowotnej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4E5D072C" w14:textId="6638448A" w:rsidR="003411A4" w:rsidRPr="00C10DE8" w:rsidRDefault="00C10DE8" w:rsidP="00C10DE8">
      <w:pPr>
        <w:pStyle w:val="Akapitzlist"/>
        <w:numPr>
          <w:ilvl w:val="0"/>
          <w:numId w:val="23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l</w:t>
      </w:r>
      <w:r w:rsidR="003411A4" w:rsidRPr="00C10DE8">
        <w:rPr>
          <w:rFonts w:asciiTheme="minorHAnsi" w:hAnsiTheme="minorHAnsi" w:cstheme="minorHAnsi"/>
          <w:sz w:val="24"/>
          <w:szCs w:val="24"/>
        </w:rPr>
        <w:t>ikwidacja odliczenia składki zdrowotnej w PIT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61E8F721" w14:textId="5B3529A6" w:rsidR="003411A4" w:rsidRPr="00C10DE8" w:rsidRDefault="003411A4" w:rsidP="00C10DE8">
      <w:pPr>
        <w:pStyle w:val="Akapitzlist"/>
        <w:numPr>
          <w:ilvl w:val="0"/>
          <w:numId w:val="19"/>
        </w:numPr>
        <w:spacing w:after="0"/>
        <w:ind w:left="36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karta podatkowa:</w:t>
      </w:r>
    </w:p>
    <w:p w14:paraId="3BF065DA" w14:textId="6D81C51A" w:rsidR="003411A4" w:rsidRPr="00C10DE8" w:rsidRDefault="00C10DE8" w:rsidP="00C10DE8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n</w:t>
      </w:r>
      <w:r w:rsidR="003411A4" w:rsidRPr="00C10DE8">
        <w:rPr>
          <w:rFonts w:asciiTheme="minorHAnsi" w:hAnsiTheme="minorHAnsi" w:cstheme="minorHAnsi"/>
          <w:sz w:val="24"/>
          <w:szCs w:val="24"/>
        </w:rPr>
        <w:t>iższa składka wynosząca 9% od 75%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minimalnego wynagrodzenia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07C71B75" w14:textId="35429F92" w:rsidR="003411A4" w:rsidRPr="00C10DE8" w:rsidRDefault="00C10DE8" w:rsidP="00C10DE8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lastRenderedPageBreak/>
        <w:t>w</w:t>
      </w:r>
      <w:r w:rsidR="003411A4" w:rsidRPr="00C10DE8">
        <w:rPr>
          <w:rFonts w:asciiTheme="minorHAnsi" w:hAnsiTheme="minorHAnsi" w:cstheme="minorHAnsi"/>
          <w:sz w:val="24"/>
          <w:szCs w:val="24"/>
        </w:rPr>
        <w:t xml:space="preserve"> warunkach roku 2025 oznacza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to prognozowaną korzyść w wysokości</w:t>
      </w:r>
      <w:r w:rsidRPr="00C10DE8">
        <w:rPr>
          <w:rFonts w:asciiTheme="minorHAnsi" w:hAnsiTheme="minorHAnsi" w:cstheme="minorHAnsi"/>
          <w:sz w:val="24"/>
          <w:szCs w:val="24"/>
        </w:rPr>
        <w:t xml:space="preserve"> </w:t>
      </w:r>
      <w:r w:rsidR="003411A4" w:rsidRPr="00C10DE8">
        <w:rPr>
          <w:rFonts w:asciiTheme="minorHAnsi" w:hAnsiTheme="minorHAnsi" w:cstheme="minorHAnsi"/>
          <w:sz w:val="24"/>
          <w:szCs w:val="24"/>
        </w:rPr>
        <w:t>ok. 100 zł miesięcznie / ok. 1200 zł rocznie</w:t>
      </w:r>
      <w:r w:rsidRPr="00C10DE8">
        <w:rPr>
          <w:rFonts w:asciiTheme="minorHAnsi" w:hAnsiTheme="minorHAnsi" w:cstheme="minorHAnsi"/>
          <w:sz w:val="24"/>
          <w:szCs w:val="24"/>
        </w:rPr>
        <w:t>;</w:t>
      </w:r>
    </w:p>
    <w:p w14:paraId="251EC557" w14:textId="287B56E5" w:rsidR="00AB033B" w:rsidRPr="000B38B5" w:rsidRDefault="00C10DE8" w:rsidP="00AB033B">
      <w:pPr>
        <w:pStyle w:val="Akapitzlist"/>
        <w:numPr>
          <w:ilvl w:val="0"/>
          <w:numId w:val="24"/>
        </w:numPr>
        <w:spacing w:after="0"/>
        <w:rPr>
          <w:rFonts w:asciiTheme="minorHAnsi" w:hAnsiTheme="minorHAnsi" w:cstheme="minorHAnsi"/>
          <w:sz w:val="24"/>
          <w:szCs w:val="24"/>
        </w:rPr>
      </w:pPr>
      <w:r w:rsidRPr="00C10DE8">
        <w:rPr>
          <w:rFonts w:asciiTheme="minorHAnsi" w:hAnsiTheme="minorHAnsi" w:cstheme="minorHAnsi"/>
          <w:sz w:val="24"/>
          <w:szCs w:val="24"/>
        </w:rPr>
        <w:t>l</w:t>
      </w:r>
      <w:r w:rsidR="003411A4" w:rsidRPr="00C10DE8">
        <w:rPr>
          <w:rFonts w:asciiTheme="minorHAnsi" w:hAnsiTheme="minorHAnsi" w:cstheme="minorHAnsi"/>
          <w:sz w:val="24"/>
          <w:szCs w:val="24"/>
        </w:rPr>
        <w:t>ikwidacja odliczenia składki w PIT</w:t>
      </w:r>
      <w:r w:rsidRPr="00C10DE8">
        <w:rPr>
          <w:rFonts w:asciiTheme="minorHAnsi" w:hAnsiTheme="minorHAnsi" w:cstheme="minorHAnsi"/>
          <w:sz w:val="24"/>
          <w:szCs w:val="24"/>
        </w:rPr>
        <w:t>.</w:t>
      </w:r>
    </w:p>
    <w:p w14:paraId="54DA0E23" w14:textId="65BFF312" w:rsidR="00215533" w:rsidRPr="00CC1551" w:rsidRDefault="0034211F" w:rsidP="000168E8">
      <w:pPr>
        <w:pStyle w:val="Nagwek2"/>
        <w:spacing w:before="0"/>
        <w:ind w:left="527"/>
        <w:contextualSpacing w:val="0"/>
        <w:rPr>
          <w:rFonts w:asciiTheme="minorHAnsi" w:hAnsiTheme="minorHAnsi" w:cstheme="minorHAnsi"/>
          <w:sz w:val="24"/>
          <w:szCs w:val="24"/>
        </w:rPr>
      </w:pPr>
      <w:bookmarkStart w:id="4" w:name="_Toc163816385"/>
      <w:r w:rsidRPr="00CC1551">
        <w:rPr>
          <w:rFonts w:asciiTheme="minorHAnsi" w:hAnsiTheme="minorHAnsi" w:cstheme="minorHAnsi"/>
          <w:sz w:val="24"/>
          <w:szCs w:val="24"/>
        </w:rPr>
        <w:t>W</w:t>
      </w:r>
      <w:r w:rsidR="004B1F49" w:rsidRPr="00CC1551">
        <w:rPr>
          <w:rFonts w:asciiTheme="minorHAnsi" w:hAnsiTheme="minorHAnsi" w:cstheme="minorHAnsi"/>
          <w:sz w:val="24"/>
          <w:szCs w:val="24"/>
        </w:rPr>
        <w:t>stępne w</w:t>
      </w:r>
      <w:r w:rsidRPr="00CC1551">
        <w:rPr>
          <w:rFonts w:asciiTheme="minorHAnsi" w:hAnsiTheme="minorHAnsi" w:cstheme="minorHAnsi"/>
          <w:sz w:val="24"/>
          <w:szCs w:val="24"/>
        </w:rPr>
        <w:t>yniki finansowe</w:t>
      </w:r>
      <w:r w:rsidR="00014062" w:rsidRPr="00CC1551">
        <w:rPr>
          <w:rFonts w:asciiTheme="minorHAnsi" w:hAnsiTheme="minorHAnsi" w:cstheme="minorHAnsi"/>
          <w:sz w:val="24"/>
          <w:szCs w:val="24"/>
        </w:rPr>
        <w:t xml:space="preserve"> </w:t>
      </w:r>
      <w:r w:rsidR="00005E82" w:rsidRPr="00CC1551">
        <w:rPr>
          <w:rFonts w:asciiTheme="minorHAnsi" w:hAnsiTheme="minorHAnsi" w:cstheme="minorHAnsi"/>
          <w:sz w:val="24"/>
          <w:szCs w:val="24"/>
        </w:rPr>
        <w:t>wojewódzkich podmiotów leczniczych</w:t>
      </w:r>
      <w:r w:rsidR="00521690" w:rsidRPr="00CC1551">
        <w:rPr>
          <w:rFonts w:asciiTheme="minorHAnsi" w:hAnsiTheme="minorHAnsi" w:cstheme="minorHAnsi"/>
          <w:sz w:val="24"/>
          <w:szCs w:val="24"/>
        </w:rPr>
        <w:t xml:space="preserve"> za 202</w:t>
      </w:r>
      <w:r w:rsidR="005C69D9">
        <w:rPr>
          <w:rFonts w:asciiTheme="minorHAnsi" w:hAnsiTheme="minorHAnsi" w:cstheme="minorHAnsi"/>
          <w:sz w:val="24"/>
          <w:szCs w:val="24"/>
        </w:rPr>
        <w:t>3</w:t>
      </w:r>
      <w:r w:rsidR="00215533" w:rsidRPr="00CC1551">
        <w:rPr>
          <w:rFonts w:asciiTheme="minorHAnsi" w:hAnsiTheme="minorHAnsi" w:cstheme="minorHAnsi"/>
          <w:sz w:val="24"/>
          <w:szCs w:val="24"/>
        </w:rPr>
        <w:t xml:space="preserve"> r.</w:t>
      </w:r>
      <w:bookmarkEnd w:id="4"/>
      <w:r w:rsidR="00215533" w:rsidRPr="00CC15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823531A" w14:textId="77777777" w:rsidR="0095084D" w:rsidRDefault="00521690" w:rsidP="003D0E86">
      <w:pPr>
        <w:spacing w:after="360"/>
        <w:jc w:val="both"/>
        <w:rPr>
          <w:rFonts w:asciiTheme="minorHAnsi" w:hAnsiTheme="minorHAnsi" w:cstheme="minorHAnsi"/>
          <w:sz w:val="24"/>
          <w:szCs w:val="24"/>
        </w:rPr>
        <w:sectPr w:rsidR="0095084D" w:rsidSect="003F4D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C1551">
        <w:rPr>
          <w:rFonts w:asciiTheme="minorHAnsi" w:hAnsiTheme="minorHAnsi" w:cstheme="minorHAnsi"/>
          <w:sz w:val="24"/>
          <w:szCs w:val="24"/>
        </w:rPr>
        <w:t>Wstępne wyniki finansowe za 202</w:t>
      </w:r>
      <w:r w:rsidR="00E13325" w:rsidRPr="00CC1551">
        <w:rPr>
          <w:rFonts w:asciiTheme="minorHAnsi" w:hAnsiTheme="minorHAnsi" w:cstheme="minorHAnsi"/>
          <w:sz w:val="24"/>
          <w:szCs w:val="24"/>
        </w:rPr>
        <w:t>3</w:t>
      </w:r>
      <w:r w:rsidR="00215533" w:rsidRPr="00CC1551">
        <w:rPr>
          <w:rFonts w:asciiTheme="minorHAnsi" w:hAnsiTheme="minorHAnsi" w:cstheme="minorHAnsi"/>
          <w:sz w:val="24"/>
          <w:szCs w:val="24"/>
        </w:rPr>
        <w:t xml:space="preserve"> r. przedstawione </w:t>
      </w:r>
      <w:r w:rsidR="005E46F5" w:rsidRPr="00CC1551">
        <w:rPr>
          <w:rFonts w:asciiTheme="minorHAnsi" w:hAnsiTheme="minorHAnsi" w:cstheme="minorHAnsi"/>
          <w:sz w:val="24"/>
          <w:szCs w:val="24"/>
        </w:rPr>
        <w:t>zostały</w:t>
      </w:r>
      <w:r w:rsidR="00215533" w:rsidRPr="00CC1551">
        <w:rPr>
          <w:rFonts w:asciiTheme="minorHAnsi" w:hAnsiTheme="minorHAnsi" w:cstheme="minorHAnsi"/>
          <w:sz w:val="24"/>
          <w:szCs w:val="24"/>
        </w:rPr>
        <w:t xml:space="preserve"> na podstawie </w:t>
      </w:r>
      <w:r w:rsidR="005E46F5" w:rsidRPr="00CC1551">
        <w:rPr>
          <w:rFonts w:asciiTheme="minorHAnsi" w:hAnsiTheme="minorHAnsi" w:cstheme="minorHAnsi"/>
          <w:sz w:val="24"/>
          <w:szCs w:val="24"/>
        </w:rPr>
        <w:t>informacji</w:t>
      </w:r>
      <w:r w:rsidR="00215533" w:rsidRPr="00CC1551">
        <w:rPr>
          <w:rFonts w:asciiTheme="minorHAnsi" w:hAnsiTheme="minorHAnsi" w:cstheme="minorHAnsi"/>
          <w:sz w:val="24"/>
          <w:szCs w:val="24"/>
        </w:rPr>
        <w:t xml:space="preserve"> z wyko</w:t>
      </w:r>
      <w:r w:rsidRPr="00CC1551">
        <w:rPr>
          <w:rFonts w:asciiTheme="minorHAnsi" w:hAnsiTheme="minorHAnsi" w:cstheme="minorHAnsi"/>
          <w:sz w:val="24"/>
          <w:szCs w:val="24"/>
        </w:rPr>
        <w:t>nania planów finansowych za 202</w:t>
      </w:r>
      <w:r w:rsidR="00CC1551" w:rsidRPr="00CC1551">
        <w:rPr>
          <w:rFonts w:asciiTheme="minorHAnsi" w:hAnsiTheme="minorHAnsi" w:cstheme="minorHAnsi"/>
          <w:sz w:val="24"/>
          <w:szCs w:val="24"/>
        </w:rPr>
        <w:t>3</w:t>
      </w:r>
      <w:r w:rsidR="00215533" w:rsidRPr="00CC1551">
        <w:rPr>
          <w:rFonts w:asciiTheme="minorHAnsi" w:hAnsiTheme="minorHAnsi" w:cstheme="minorHAnsi"/>
          <w:sz w:val="24"/>
          <w:szCs w:val="24"/>
        </w:rPr>
        <w:t xml:space="preserve"> rok. W podmiotach leczniczych trwają</w:t>
      </w:r>
      <w:r w:rsidR="005E46F5" w:rsidRPr="00CC1551">
        <w:rPr>
          <w:rFonts w:asciiTheme="minorHAnsi" w:hAnsiTheme="minorHAnsi" w:cstheme="minorHAnsi"/>
          <w:sz w:val="24"/>
          <w:szCs w:val="24"/>
        </w:rPr>
        <w:t xml:space="preserve"> prace </w:t>
      </w:r>
      <w:r w:rsidR="00FA13DB" w:rsidRPr="00CC1551">
        <w:rPr>
          <w:rFonts w:asciiTheme="minorHAnsi" w:hAnsiTheme="minorHAnsi" w:cstheme="minorHAnsi"/>
          <w:sz w:val="24"/>
          <w:szCs w:val="24"/>
        </w:rPr>
        <w:t xml:space="preserve">nad bilansowym zamknięciem roku, w tym badanie sprawozdań przez biegłego </w:t>
      </w:r>
      <w:r w:rsidR="00A5062F" w:rsidRPr="00CC1551">
        <w:rPr>
          <w:rFonts w:asciiTheme="minorHAnsi" w:hAnsiTheme="minorHAnsi" w:cstheme="minorHAnsi"/>
          <w:sz w:val="24"/>
          <w:szCs w:val="24"/>
        </w:rPr>
        <w:t xml:space="preserve">rewidenta </w:t>
      </w:r>
      <w:r w:rsidR="0062065B">
        <w:rPr>
          <w:rFonts w:asciiTheme="minorHAnsi" w:hAnsiTheme="minorHAnsi" w:cstheme="minorHAnsi"/>
          <w:sz w:val="24"/>
          <w:szCs w:val="24"/>
        </w:rPr>
        <w:t xml:space="preserve">– </w:t>
      </w:r>
      <w:r w:rsidR="00215533" w:rsidRPr="00CC1551">
        <w:rPr>
          <w:rFonts w:asciiTheme="minorHAnsi" w:hAnsiTheme="minorHAnsi" w:cstheme="minorHAnsi"/>
          <w:sz w:val="24"/>
          <w:szCs w:val="24"/>
        </w:rPr>
        <w:t xml:space="preserve">zaprezentowane w </w:t>
      </w:r>
      <w:r w:rsidR="00A5062F" w:rsidRPr="00CC1551">
        <w:rPr>
          <w:rFonts w:asciiTheme="minorHAnsi" w:hAnsiTheme="minorHAnsi" w:cstheme="minorHAnsi"/>
          <w:sz w:val="24"/>
          <w:szCs w:val="24"/>
        </w:rPr>
        <w:t>I</w:t>
      </w:r>
      <w:r w:rsidR="00215533" w:rsidRPr="00CC1551">
        <w:rPr>
          <w:rFonts w:asciiTheme="minorHAnsi" w:hAnsiTheme="minorHAnsi" w:cstheme="minorHAnsi"/>
          <w:sz w:val="24"/>
          <w:szCs w:val="24"/>
        </w:rPr>
        <w:t>nformacji wyniki finansowe, przychody i</w:t>
      </w:r>
      <w:r w:rsidR="00BB1770" w:rsidRPr="00CC1551">
        <w:rPr>
          <w:rFonts w:asciiTheme="minorHAnsi" w:hAnsiTheme="minorHAnsi" w:cstheme="minorHAnsi"/>
          <w:sz w:val="24"/>
          <w:szCs w:val="24"/>
        </w:rPr>
        <w:t> </w:t>
      </w:r>
      <w:r w:rsidR="00215533" w:rsidRPr="00CC1551">
        <w:rPr>
          <w:rFonts w:asciiTheme="minorHAnsi" w:hAnsiTheme="minorHAnsi" w:cstheme="minorHAnsi"/>
          <w:sz w:val="24"/>
          <w:szCs w:val="24"/>
        </w:rPr>
        <w:t>koszty ulegną jeszcz</w:t>
      </w:r>
      <w:r w:rsidR="005E46F5" w:rsidRPr="00CC1551">
        <w:rPr>
          <w:rFonts w:asciiTheme="minorHAnsi" w:hAnsiTheme="minorHAnsi" w:cstheme="minorHAnsi"/>
          <w:sz w:val="24"/>
          <w:szCs w:val="24"/>
        </w:rPr>
        <w:t>e</w:t>
      </w:r>
      <w:r w:rsidR="00215533" w:rsidRPr="00CC1551">
        <w:rPr>
          <w:rFonts w:asciiTheme="minorHAnsi" w:hAnsiTheme="minorHAnsi" w:cstheme="minorHAnsi"/>
          <w:sz w:val="24"/>
          <w:szCs w:val="24"/>
        </w:rPr>
        <w:t xml:space="preserve"> zmianie</w:t>
      </w:r>
      <w:r w:rsidR="00E35FBD" w:rsidRPr="00CC1551">
        <w:rPr>
          <w:rFonts w:asciiTheme="minorHAnsi" w:hAnsiTheme="minorHAnsi" w:cstheme="minorHAnsi"/>
          <w:sz w:val="24"/>
          <w:szCs w:val="24"/>
        </w:rPr>
        <w:t>.</w:t>
      </w:r>
      <w:r w:rsidR="003D0E86" w:rsidRPr="00CC155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F737C61" w14:textId="77777777" w:rsidR="00854780" w:rsidRPr="00787766" w:rsidRDefault="008B3CF9" w:rsidP="00B706BF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787766">
        <w:rPr>
          <w:rFonts w:asciiTheme="minorHAnsi" w:hAnsiTheme="minorHAnsi" w:cstheme="minorHAnsi"/>
          <w:b/>
          <w:bCs/>
          <w:sz w:val="24"/>
          <w:szCs w:val="24"/>
        </w:rPr>
        <w:lastRenderedPageBreak/>
        <w:t>Wstępny w</w:t>
      </w:r>
      <w:r w:rsidR="00530909" w:rsidRPr="00787766">
        <w:rPr>
          <w:rFonts w:asciiTheme="minorHAnsi" w:hAnsiTheme="minorHAnsi" w:cstheme="minorHAnsi"/>
          <w:b/>
          <w:bCs/>
          <w:sz w:val="24"/>
          <w:szCs w:val="24"/>
        </w:rPr>
        <w:t>ynik finansowy netto</w:t>
      </w:r>
    </w:p>
    <w:p w14:paraId="7C775466" w14:textId="71B3DA05" w:rsidR="00854780" w:rsidRPr="00787766" w:rsidRDefault="00854780" w:rsidP="000B33BF">
      <w:pPr>
        <w:spacing w:before="240" w:after="240"/>
        <w:jc w:val="both"/>
        <w:rPr>
          <w:rFonts w:asciiTheme="minorHAnsi" w:hAnsiTheme="minorHAnsi" w:cstheme="minorHAnsi"/>
          <w:sz w:val="24"/>
          <w:szCs w:val="24"/>
        </w:rPr>
      </w:pPr>
      <w:r w:rsidRPr="00787766">
        <w:rPr>
          <w:rFonts w:asciiTheme="minorHAnsi" w:hAnsiTheme="minorHAnsi" w:cstheme="minorHAnsi"/>
          <w:sz w:val="24"/>
          <w:szCs w:val="24"/>
        </w:rPr>
        <w:t xml:space="preserve">Wg wstępnych danych wojewódzkie podmioty lecznicze </w:t>
      </w:r>
      <w:r w:rsidR="00A5062F" w:rsidRPr="00787766">
        <w:rPr>
          <w:rFonts w:asciiTheme="minorHAnsi" w:hAnsiTheme="minorHAnsi" w:cstheme="minorHAnsi"/>
          <w:sz w:val="24"/>
          <w:szCs w:val="24"/>
        </w:rPr>
        <w:t xml:space="preserve">w </w:t>
      </w:r>
      <w:r w:rsidR="00B2781F" w:rsidRPr="00787766">
        <w:rPr>
          <w:rFonts w:asciiTheme="minorHAnsi" w:hAnsiTheme="minorHAnsi" w:cstheme="minorHAnsi"/>
          <w:sz w:val="24"/>
          <w:szCs w:val="24"/>
        </w:rPr>
        <w:t>202</w:t>
      </w:r>
      <w:r w:rsidR="00CC1551" w:rsidRPr="00787766">
        <w:rPr>
          <w:rFonts w:asciiTheme="minorHAnsi" w:hAnsiTheme="minorHAnsi" w:cstheme="minorHAnsi"/>
          <w:sz w:val="24"/>
          <w:szCs w:val="24"/>
        </w:rPr>
        <w:t xml:space="preserve">3 </w:t>
      </w:r>
      <w:r w:rsidR="00B2781F" w:rsidRPr="00787766">
        <w:rPr>
          <w:rFonts w:asciiTheme="minorHAnsi" w:hAnsiTheme="minorHAnsi" w:cstheme="minorHAnsi"/>
          <w:sz w:val="24"/>
          <w:szCs w:val="24"/>
        </w:rPr>
        <w:t xml:space="preserve">roku </w:t>
      </w:r>
      <w:r w:rsidR="009A5662">
        <w:rPr>
          <w:rFonts w:asciiTheme="minorHAnsi" w:hAnsiTheme="minorHAnsi" w:cstheme="minorHAnsi"/>
          <w:sz w:val="24"/>
          <w:szCs w:val="24"/>
        </w:rPr>
        <w:t xml:space="preserve">łącznie </w:t>
      </w:r>
      <w:r w:rsidR="00A5062F" w:rsidRPr="00787766">
        <w:rPr>
          <w:rFonts w:asciiTheme="minorHAnsi" w:hAnsiTheme="minorHAnsi" w:cstheme="minorHAnsi"/>
          <w:sz w:val="24"/>
          <w:szCs w:val="24"/>
        </w:rPr>
        <w:t>osiągnęły</w:t>
      </w:r>
      <w:r w:rsidR="00CC1551" w:rsidRPr="00787766">
        <w:rPr>
          <w:rFonts w:asciiTheme="minorHAnsi" w:hAnsiTheme="minorHAnsi" w:cstheme="minorHAnsi"/>
          <w:sz w:val="24"/>
          <w:szCs w:val="24"/>
        </w:rPr>
        <w:t xml:space="preserve"> zysk netto</w:t>
      </w:r>
      <w:r w:rsidR="00B2781F" w:rsidRPr="00787766">
        <w:rPr>
          <w:rFonts w:asciiTheme="minorHAnsi" w:hAnsiTheme="minorHAnsi" w:cstheme="minorHAnsi"/>
          <w:sz w:val="24"/>
          <w:szCs w:val="24"/>
        </w:rPr>
        <w:t xml:space="preserve"> </w:t>
      </w:r>
      <w:r w:rsidRPr="00787766">
        <w:rPr>
          <w:rFonts w:asciiTheme="minorHAnsi" w:hAnsiTheme="minorHAnsi" w:cstheme="minorHAnsi"/>
          <w:sz w:val="24"/>
          <w:szCs w:val="24"/>
        </w:rPr>
        <w:t>w</w:t>
      </w:r>
      <w:r w:rsidR="00CC1551" w:rsidRPr="00787766">
        <w:rPr>
          <w:rFonts w:asciiTheme="minorHAnsi" w:hAnsiTheme="minorHAnsi" w:cstheme="minorHAnsi"/>
          <w:sz w:val="24"/>
          <w:szCs w:val="24"/>
        </w:rPr>
        <w:t> </w:t>
      </w:r>
      <w:r w:rsidRPr="00787766">
        <w:rPr>
          <w:rFonts w:asciiTheme="minorHAnsi" w:hAnsiTheme="minorHAnsi" w:cstheme="minorHAnsi"/>
          <w:sz w:val="24"/>
          <w:szCs w:val="24"/>
        </w:rPr>
        <w:t xml:space="preserve">wysokości </w:t>
      </w:r>
      <w:r w:rsidR="00CC1551" w:rsidRPr="00787766">
        <w:rPr>
          <w:rFonts w:asciiTheme="minorHAnsi" w:hAnsiTheme="minorHAnsi" w:cstheme="minorHAnsi"/>
          <w:sz w:val="24"/>
          <w:szCs w:val="24"/>
        </w:rPr>
        <w:t>24,7</w:t>
      </w:r>
      <w:r w:rsidRPr="00787766">
        <w:rPr>
          <w:rFonts w:asciiTheme="minorHAnsi" w:hAnsiTheme="minorHAnsi" w:cstheme="minorHAnsi"/>
          <w:sz w:val="24"/>
          <w:szCs w:val="24"/>
        </w:rPr>
        <w:t xml:space="preserve"> mln zł. </w:t>
      </w:r>
      <w:r w:rsidR="008816E2" w:rsidRPr="00787766">
        <w:rPr>
          <w:rFonts w:asciiTheme="minorHAnsi" w:hAnsiTheme="minorHAnsi" w:cstheme="minorHAnsi"/>
          <w:sz w:val="24"/>
          <w:szCs w:val="24"/>
        </w:rPr>
        <w:t>W porównaniu do 202</w:t>
      </w:r>
      <w:r w:rsidR="00CC1551" w:rsidRPr="00787766">
        <w:rPr>
          <w:rFonts w:asciiTheme="minorHAnsi" w:hAnsiTheme="minorHAnsi" w:cstheme="minorHAnsi"/>
          <w:sz w:val="24"/>
          <w:szCs w:val="24"/>
        </w:rPr>
        <w:t>2</w:t>
      </w:r>
      <w:r w:rsidR="008816E2" w:rsidRPr="00787766">
        <w:rPr>
          <w:rFonts w:asciiTheme="minorHAnsi" w:hAnsiTheme="minorHAnsi" w:cstheme="minorHAnsi"/>
          <w:sz w:val="24"/>
          <w:szCs w:val="24"/>
        </w:rPr>
        <w:t xml:space="preserve"> r. oznacza </w:t>
      </w:r>
      <w:r w:rsidRPr="00787766">
        <w:rPr>
          <w:rFonts w:asciiTheme="minorHAnsi" w:hAnsiTheme="minorHAnsi" w:cstheme="minorHAnsi"/>
          <w:sz w:val="24"/>
          <w:szCs w:val="24"/>
        </w:rPr>
        <w:t>to poprawę wyniku o</w:t>
      </w:r>
      <w:r w:rsidR="00A5062F" w:rsidRPr="00787766">
        <w:rPr>
          <w:rFonts w:asciiTheme="minorHAnsi" w:hAnsiTheme="minorHAnsi" w:cstheme="minorHAnsi"/>
          <w:sz w:val="24"/>
          <w:szCs w:val="24"/>
        </w:rPr>
        <w:t> </w:t>
      </w:r>
      <w:r w:rsidR="00787766" w:rsidRPr="00787766">
        <w:rPr>
          <w:rFonts w:asciiTheme="minorHAnsi" w:hAnsiTheme="minorHAnsi" w:cstheme="minorHAnsi"/>
          <w:sz w:val="24"/>
          <w:szCs w:val="24"/>
        </w:rPr>
        <w:t>29,3</w:t>
      </w:r>
      <w:r w:rsidR="00A5062F" w:rsidRPr="00787766">
        <w:rPr>
          <w:rFonts w:asciiTheme="minorHAnsi" w:hAnsiTheme="minorHAnsi" w:cstheme="minorHAnsi"/>
          <w:sz w:val="24"/>
          <w:szCs w:val="24"/>
        </w:rPr>
        <w:t> </w:t>
      </w:r>
      <w:r w:rsidRPr="00787766">
        <w:rPr>
          <w:rFonts w:asciiTheme="minorHAnsi" w:hAnsiTheme="minorHAnsi" w:cstheme="minorHAnsi"/>
          <w:sz w:val="24"/>
          <w:szCs w:val="24"/>
        </w:rPr>
        <w:t>mln zł</w:t>
      </w:r>
      <w:r w:rsidR="007D14FD" w:rsidRPr="00787766">
        <w:rPr>
          <w:rFonts w:asciiTheme="minorHAnsi" w:hAnsiTheme="minorHAnsi" w:cstheme="minorHAnsi"/>
          <w:sz w:val="24"/>
          <w:szCs w:val="24"/>
        </w:rPr>
        <w:t>. Szczegółowe dane w tym zakresie zawiera tabela</w:t>
      </w:r>
      <w:r w:rsidR="000B33BF" w:rsidRPr="00787766">
        <w:rPr>
          <w:rFonts w:asciiTheme="minorHAnsi" w:hAnsiTheme="minorHAnsi" w:cstheme="minorHAnsi"/>
          <w:sz w:val="24"/>
          <w:szCs w:val="24"/>
        </w:rPr>
        <w:t> </w:t>
      </w:r>
      <w:r w:rsidR="00CA3A6F">
        <w:rPr>
          <w:rFonts w:asciiTheme="minorHAnsi" w:hAnsiTheme="minorHAnsi" w:cstheme="minorHAnsi"/>
          <w:sz w:val="24"/>
          <w:szCs w:val="24"/>
        </w:rPr>
        <w:t xml:space="preserve">nr </w:t>
      </w:r>
      <w:r w:rsidR="00EB54F0">
        <w:rPr>
          <w:rFonts w:asciiTheme="minorHAnsi" w:hAnsiTheme="minorHAnsi" w:cstheme="minorHAnsi"/>
          <w:sz w:val="24"/>
          <w:szCs w:val="24"/>
        </w:rPr>
        <w:t>2</w:t>
      </w:r>
      <w:r w:rsidR="00CA3A6F">
        <w:rPr>
          <w:rFonts w:asciiTheme="minorHAnsi" w:hAnsiTheme="minorHAnsi" w:cstheme="minorHAnsi"/>
          <w:sz w:val="24"/>
          <w:szCs w:val="24"/>
        </w:rPr>
        <w:t>.</w:t>
      </w:r>
    </w:p>
    <w:p w14:paraId="08EDD1FB" w14:textId="1F76FA61" w:rsidR="00C56656" w:rsidRPr="00787766" w:rsidRDefault="0095084D" w:rsidP="005D7D0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Wartościowo n</w:t>
      </w:r>
      <w:r w:rsidR="00C56656" w:rsidRPr="00787766">
        <w:rPr>
          <w:rFonts w:asciiTheme="minorHAnsi" w:hAnsiTheme="minorHAnsi" w:cstheme="minorHAnsi"/>
          <w:sz w:val="24"/>
          <w:szCs w:val="24"/>
        </w:rPr>
        <w:t xml:space="preserve">ajwiększa poprawa wyniku </w:t>
      </w:r>
      <w:r w:rsidR="005E46F5" w:rsidRPr="00787766">
        <w:rPr>
          <w:rFonts w:asciiTheme="minorHAnsi" w:hAnsiTheme="minorHAnsi" w:cstheme="minorHAnsi"/>
          <w:sz w:val="24"/>
          <w:szCs w:val="24"/>
        </w:rPr>
        <w:t xml:space="preserve">wg wstępnych danych </w:t>
      </w:r>
      <w:r w:rsidR="00C56656" w:rsidRPr="00787766">
        <w:rPr>
          <w:rFonts w:asciiTheme="minorHAnsi" w:hAnsiTheme="minorHAnsi" w:cstheme="minorHAnsi"/>
          <w:sz w:val="24"/>
          <w:szCs w:val="24"/>
        </w:rPr>
        <w:t>wystąpiła</w:t>
      </w:r>
      <w:r w:rsidR="00B2781F" w:rsidRPr="00787766">
        <w:rPr>
          <w:rFonts w:asciiTheme="minorHAnsi" w:hAnsiTheme="minorHAnsi" w:cstheme="minorHAnsi"/>
          <w:sz w:val="24"/>
          <w:szCs w:val="24"/>
        </w:rPr>
        <w:t xml:space="preserve"> </w:t>
      </w:r>
      <w:r w:rsidR="00A5062F" w:rsidRPr="00787766">
        <w:rPr>
          <w:rFonts w:asciiTheme="minorHAnsi" w:hAnsiTheme="minorHAnsi" w:cstheme="minorHAnsi"/>
          <w:sz w:val="24"/>
          <w:szCs w:val="24"/>
        </w:rPr>
        <w:t>w</w:t>
      </w:r>
      <w:r w:rsidR="00304E0F" w:rsidRPr="00787766">
        <w:rPr>
          <w:rFonts w:asciiTheme="minorHAnsi" w:hAnsiTheme="minorHAnsi" w:cstheme="minorHAnsi"/>
          <w:sz w:val="24"/>
          <w:szCs w:val="24"/>
        </w:rPr>
        <w:t xml:space="preserve"> </w:t>
      </w:r>
      <w:r w:rsidR="00A5062F" w:rsidRPr="00787766">
        <w:rPr>
          <w:rFonts w:asciiTheme="minorHAnsi" w:hAnsiTheme="minorHAnsi" w:cstheme="minorHAnsi"/>
          <w:sz w:val="24"/>
          <w:szCs w:val="24"/>
        </w:rPr>
        <w:t>Klinicznym</w:t>
      </w:r>
      <w:r w:rsidR="00304E0F" w:rsidRPr="00787766">
        <w:rPr>
          <w:rFonts w:asciiTheme="minorHAnsi" w:hAnsiTheme="minorHAnsi" w:cstheme="minorHAnsi"/>
          <w:sz w:val="24"/>
          <w:szCs w:val="24"/>
        </w:rPr>
        <w:t xml:space="preserve"> </w:t>
      </w:r>
      <w:r w:rsidR="00A5062F" w:rsidRPr="00787766">
        <w:rPr>
          <w:rFonts w:asciiTheme="minorHAnsi" w:hAnsiTheme="minorHAnsi" w:cstheme="minorHAnsi"/>
          <w:sz w:val="24"/>
          <w:szCs w:val="24"/>
        </w:rPr>
        <w:t xml:space="preserve">Szpitalu Wojewódzkim Nr 2 w Rzeszowie oraz w </w:t>
      </w:r>
      <w:r w:rsidR="00C56656" w:rsidRPr="00787766">
        <w:rPr>
          <w:rFonts w:asciiTheme="minorHAnsi" w:hAnsiTheme="minorHAnsi" w:cstheme="minorHAnsi"/>
          <w:sz w:val="24"/>
          <w:szCs w:val="24"/>
        </w:rPr>
        <w:t xml:space="preserve">Szpitalu w </w:t>
      </w:r>
      <w:r w:rsidR="00787766" w:rsidRPr="00787766">
        <w:rPr>
          <w:rFonts w:asciiTheme="minorHAnsi" w:hAnsiTheme="minorHAnsi" w:cstheme="minorHAnsi"/>
          <w:sz w:val="24"/>
          <w:szCs w:val="24"/>
        </w:rPr>
        <w:t>T</w:t>
      </w:r>
      <w:r w:rsidR="00787766">
        <w:rPr>
          <w:rFonts w:asciiTheme="minorHAnsi" w:hAnsiTheme="minorHAnsi" w:cstheme="minorHAnsi"/>
          <w:sz w:val="24"/>
          <w:szCs w:val="24"/>
        </w:rPr>
        <w:t>a</w:t>
      </w:r>
      <w:r w:rsidR="00787766" w:rsidRPr="00787766">
        <w:rPr>
          <w:rFonts w:asciiTheme="minorHAnsi" w:hAnsiTheme="minorHAnsi" w:cstheme="minorHAnsi"/>
          <w:sz w:val="24"/>
          <w:szCs w:val="24"/>
        </w:rPr>
        <w:t>rnobrzegu</w:t>
      </w:r>
      <w:r>
        <w:rPr>
          <w:rFonts w:asciiTheme="minorHAnsi" w:hAnsiTheme="minorHAnsi" w:cstheme="minorHAnsi"/>
          <w:sz w:val="24"/>
          <w:szCs w:val="24"/>
        </w:rPr>
        <w:t xml:space="preserve"> (szpital zmniejszył wartość straty netto)</w:t>
      </w:r>
      <w:r w:rsidR="005E46F5" w:rsidRPr="00787766">
        <w:rPr>
          <w:rFonts w:asciiTheme="minorHAnsi" w:hAnsiTheme="minorHAnsi" w:cstheme="minorHAnsi"/>
          <w:sz w:val="24"/>
          <w:szCs w:val="24"/>
        </w:rPr>
        <w:t>.</w:t>
      </w:r>
    </w:p>
    <w:p w14:paraId="269D46A7" w14:textId="5A9F1255" w:rsidR="00854780" w:rsidRPr="003F799E" w:rsidRDefault="007D14FD" w:rsidP="005D7D0A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3F799E">
        <w:rPr>
          <w:rFonts w:asciiTheme="minorHAnsi" w:hAnsiTheme="minorHAnsi" w:cstheme="minorHAnsi"/>
          <w:sz w:val="24"/>
          <w:szCs w:val="24"/>
        </w:rPr>
        <w:t>Stratę</w:t>
      </w:r>
      <w:r w:rsidR="0095084D">
        <w:rPr>
          <w:rFonts w:asciiTheme="minorHAnsi" w:hAnsiTheme="minorHAnsi" w:cstheme="minorHAnsi"/>
          <w:sz w:val="24"/>
          <w:szCs w:val="24"/>
        </w:rPr>
        <w:t xml:space="preserve"> netto</w:t>
      </w:r>
      <w:r w:rsidRPr="003F799E">
        <w:rPr>
          <w:rFonts w:asciiTheme="minorHAnsi" w:hAnsiTheme="minorHAnsi" w:cstheme="minorHAnsi"/>
          <w:sz w:val="24"/>
          <w:szCs w:val="24"/>
        </w:rPr>
        <w:t xml:space="preserve"> na działalności wykazują w 202</w:t>
      </w:r>
      <w:r w:rsidR="00EB54F0">
        <w:rPr>
          <w:rFonts w:asciiTheme="minorHAnsi" w:hAnsiTheme="minorHAnsi" w:cstheme="minorHAnsi"/>
          <w:sz w:val="24"/>
          <w:szCs w:val="24"/>
        </w:rPr>
        <w:t>3</w:t>
      </w:r>
      <w:r w:rsidRPr="003F799E">
        <w:rPr>
          <w:rFonts w:asciiTheme="minorHAnsi" w:hAnsiTheme="minorHAnsi" w:cstheme="minorHAnsi"/>
          <w:sz w:val="24"/>
          <w:szCs w:val="24"/>
        </w:rPr>
        <w:t xml:space="preserve"> roku Szpitale w Krośnie</w:t>
      </w:r>
      <w:r w:rsidR="0095084D">
        <w:rPr>
          <w:rFonts w:asciiTheme="minorHAnsi" w:hAnsiTheme="minorHAnsi" w:cstheme="minorHAnsi"/>
          <w:sz w:val="24"/>
          <w:szCs w:val="24"/>
        </w:rPr>
        <w:t>,</w:t>
      </w:r>
      <w:r w:rsidRPr="003F799E">
        <w:rPr>
          <w:rFonts w:asciiTheme="minorHAnsi" w:hAnsiTheme="minorHAnsi" w:cstheme="minorHAnsi"/>
          <w:sz w:val="24"/>
          <w:szCs w:val="24"/>
        </w:rPr>
        <w:t xml:space="preserve"> Tarnobrzegu oraz</w:t>
      </w:r>
      <w:r w:rsidR="005B494C" w:rsidRPr="003F799E">
        <w:rPr>
          <w:rFonts w:asciiTheme="minorHAnsi" w:hAnsiTheme="minorHAnsi" w:cstheme="minorHAnsi"/>
          <w:sz w:val="24"/>
          <w:szCs w:val="24"/>
        </w:rPr>
        <w:t> </w:t>
      </w:r>
      <w:r w:rsidR="00A5062F" w:rsidRPr="003F799E">
        <w:rPr>
          <w:rFonts w:asciiTheme="minorHAnsi" w:hAnsiTheme="minorHAnsi" w:cstheme="minorHAnsi"/>
          <w:sz w:val="24"/>
          <w:szCs w:val="24"/>
        </w:rPr>
        <w:t>Żurawicy.</w:t>
      </w:r>
    </w:p>
    <w:p w14:paraId="7A3F01BC" w14:textId="3FBE0794" w:rsidR="00A5062F" w:rsidRPr="003F799E" w:rsidRDefault="00A5062F" w:rsidP="00A5062F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3F799E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3F799E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3F799E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3F799E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2</w:t>
      </w:r>
      <w:r w:rsidR="00204628" w:rsidRPr="003F799E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3F799E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3F799E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Wyniki finansowe netto wojewódzkich podmiotów leczniczych w latach 202</w:t>
      </w:r>
      <w:r w:rsidR="003F799E" w:rsidRPr="003F799E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2</w:t>
      </w:r>
      <w:r w:rsidRPr="003F799E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-202</w:t>
      </w:r>
      <w:r w:rsidR="003F799E" w:rsidRPr="003F799E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3</w:t>
      </w:r>
      <w:r w:rsidRPr="003F799E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r.</w:t>
      </w:r>
    </w:p>
    <w:tbl>
      <w:tblPr>
        <w:tblW w:w="44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2. Wyniki finansowe netto wojewódzkich podmiotów leczniczych w latach 2022-2023 r."/>
        <w:tblDescription w:val="Tabela zawiera informacje: Podmiot leczniczy, Wynik finansowy netto (stan na 31.12.2022 r.), Wynik finansowy netto (stan na 31.12.2023 r.), Zmiana wyniku finansowego netto (2023 a 2022)"/>
      </w:tblPr>
      <w:tblGrid>
        <w:gridCol w:w="2001"/>
        <w:gridCol w:w="2105"/>
        <w:gridCol w:w="2103"/>
        <w:gridCol w:w="1842"/>
      </w:tblGrid>
      <w:tr w:rsidR="00014062" w:rsidRPr="003F799E" w14:paraId="1D1AC07D" w14:textId="77777777" w:rsidTr="009A5662">
        <w:trPr>
          <w:trHeight w:val="907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5E72" w14:textId="77777777" w:rsidR="00014062" w:rsidRPr="003F799E" w:rsidRDefault="00014062" w:rsidP="000B33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104F" w14:textId="5F6743E4" w:rsidR="00014062" w:rsidRPr="003F799E" w:rsidRDefault="00014062" w:rsidP="0052169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finansowy netto </w:t>
            </w:r>
            <w:r w:rsidRPr="003F79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3F799E"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78D2" w14:textId="1C2049F6" w:rsidR="00014062" w:rsidRPr="003F799E" w:rsidRDefault="00014062" w:rsidP="000B33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finansowy netto </w:t>
            </w:r>
            <w:r w:rsidRPr="003F79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3F799E"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9ED20" w14:textId="4791BBB0" w:rsidR="00014062" w:rsidRPr="003F799E" w:rsidRDefault="00014062" w:rsidP="000B33B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Zmiana wyniku finansowego netto </w:t>
            </w:r>
            <w:r w:rsidR="00521690"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</w:t>
            </w:r>
            <w:r w:rsidR="003F799E"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521690"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a 202</w:t>
            </w:r>
            <w:r w:rsidR="003F799E"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3F799E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E6255" w:rsidRPr="003F799E" w14:paraId="748D81F6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9FFED" w14:textId="2D280986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 xml:space="preserve">KSW </w:t>
            </w:r>
            <w:r w:rsidR="0062065B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r 2 Rzeszów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C134C" w14:textId="13551578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8 585 883,25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D092E" w14:textId="42256A38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37 802 484,25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5D086" w14:textId="3068C714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29 216 601,00</w:t>
            </w:r>
          </w:p>
        </w:tc>
      </w:tr>
      <w:tr w:rsidR="008E6255" w:rsidRPr="003F799E" w14:paraId="615031B8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FC009" w14:textId="277107C3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WSP Krosno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71B46" w14:textId="3EAA10D9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-6 306 045,87</w:t>
            </w:r>
          </w:p>
        </w:tc>
        <w:tc>
          <w:tcPr>
            <w:tcW w:w="1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059A" w14:textId="1D5532B8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-15 604 831,35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9AF1F" w14:textId="6887872C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-9 298 785,48</w:t>
            </w:r>
          </w:p>
        </w:tc>
      </w:tr>
      <w:tr w:rsidR="008E6255" w:rsidRPr="003F799E" w14:paraId="08A6F0F7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04A9D" w14:textId="36437CB6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WS Przemyśl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B6305" w14:textId="32598405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2 311 913,25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28591" w14:textId="2F2A6FE9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6 215 352,60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AE1D7" w14:textId="0A140B0D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3 903 439,35</w:t>
            </w:r>
          </w:p>
        </w:tc>
      </w:tr>
      <w:tr w:rsidR="008E6255" w:rsidRPr="003F799E" w14:paraId="663DA1CE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6F0F3" w14:textId="561426C9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WS Tarnobrzeg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5D1C" w14:textId="3DF89730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-14 634 259,48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EFC47" w14:textId="04CCDF63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-10 581 496,00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0E213" w14:textId="42A28F5D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4 052 763,48</w:t>
            </w:r>
          </w:p>
        </w:tc>
      </w:tr>
      <w:tr w:rsidR="008E6255" w:rsidRPr="003F799E" w14:paraId="412E4783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550CC" w14:textId="5E20D099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SP ZOZ Jarosław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990B4" w14:textId="7162B7AD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2 751 679,46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12720" w14:textId="732D6054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3 421 482,30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D961" w14:textId="2ED579B7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669 802,84</w:t>
            </w:r>
          </w:p>
        </w:tc>
      </w:tr>
      <w:tr w:rsidR="008E6255" w:rsidRPr="003F799E" w14:paraId="1A366640" w14:textId="77777777" w:rsidTr="009A1D78">
        <w:trPr>
          <w:trHeight w:val="30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A4E4C" w14:textId="2BEF66C8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WPSP Żurawica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8E0E" w14:textId="4EAB3D6B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-2 115 785,17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87DC4" w14:textId="1A6006D8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-1 863 498,71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D710A" w14:textId="70F33F31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252 286,46</w:t>
            </w:r>
          </w:p>
        </w:tc>
      </w:tr>
      <w:tr w:rsidR="008E6255" w:rsidRPr="003F799E" w14:paraId="1B04E64F" w14:textId="77777777" w:rsidTr="009A1D78">
        <w:trPr>
          <w:trHeight w:val="30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FD6205" w14:textId="1A46E166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WZS Rzeszów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61935" w14:textId="3ECC39E1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2 448 404,53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D35A" w14:textId="3BD548FA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1 281 386,79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060" w14:textId="005D694E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-1 167 017,74</w:t>
            </w:r>
          </w:p>
        </w:tc>
      </w:tr>
      <w:tr w:rsidR="008E6255" w:rsidRPr="003F799E" w14:paraId="21762273" w14:textId="77777777" w:rsidTr="009A1D78">
        <w:trPr>
          <w:trHeight w:val="300"/>
        </w:trPr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4199A" w14:textId="2C41B842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WOMP Rzeszów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6E591" w14:textId="1A9D7795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211 317,82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19D21" w14:textId="260142FC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218 087,19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D056" w14:textId="197373B4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6 769,37</w:t>
            </w:r>
          </w:p>
        </w:tc>
      </w:tr>
      <w:tr w:rsidR="008E6255" w:rsidRPr="003F799E" w14:paraId="067807AF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459E3" w14:textId="70468A46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PCM Rzeszów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93793" w14:textId="7D2A883E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245 545,33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E1A4" w14:textId="63B9BA24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591 842,57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DFEE2" w14:textId="6726EE96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346 297,24</w:t>
            </w:r>
          </w:p>
        </w:tc>
      </w:tr>
      <w:tr w:rsidR="008E6255" w:rsidRPr="003F799E" w14:paraId="0E4BDA54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B877C" w14:textId="5D339883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WSPR Rzeszów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81C1" w14:textId="5B9BE5D4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195 832,79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39D8E" w14:textId="06CCE118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1 238 702,33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0459F" w14:textId="7CE3F87B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1 042 869,54</w:t>
            </w:r>
          </w:p>
        </w:tc>
      </w:tr>
      <w:tr w:rsidR="008E6255" w:rsidRPr="003F799E" w14:paraId="03ED34F6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37BC5" w14:textId="1F6EC7D0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WSPR Przemyśl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FF156" w14:textId="50C091AD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1 405 427,68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A2FA1" w14:textId="06A17198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1 589 915,00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226F3" w14:textId="7A8F7C3A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184 487,32</w:t>
            </w:r>
          </w:p>
        </w:tc>
      </w:tr>
      <w:tr w:rsidR="008E6255" w:rsidRPr="003F799E" w14:paraId="09474A47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157E6F" w14:textId="77F43174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WOTU Rzeszów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04396" w14:textId="6D9DBD1F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87 916,67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DB478" w14:textId="576D386F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235 372,24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15DC5" w14:textId="141AE301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147 455,57</w:t>
            </w:r>
          </w:p>
        </w:tc>
      </w:tr>
      <w:tr w:rsidR="008E6255" w:rsidRPr="003F799E" w14:paraId="6926DEFF" w14:textId="77777777" w:rsidTr="009A1D78">
        <w:trPr>
          <w:trHeight w:val="300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93500" w14:textId="6E1A2680" w:rsidR="008E6255" w:rsidRPr="008E6255" w:rsidRDefault="008E6255" w:rsidP="008E625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8E6255">
              <w:rPr>
                <w:rFonts w:asciiTheme="minorHAnsi" w:hAnsiTheme="minorHAnsi" w:cstheme="minorHAnsi"/>
                <w:sz w:val="20"/>
                <w:szCs w:val="20"/>
              </w:rPr>
              <w:t>WOTUiA Stalowa Wola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3051D" w14:textId="66834752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221 922,53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E149" w14:textId="55540A33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125 818,04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A6665" w14:textId="14183892" w:rsidR="008E6255" w:rsidRPr="003F799E" w:rsidRDefault="008E6255" w:rsidP="008E625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3F799E">
              <w:rPr>
                <w:sz w:val="20"/>
                <w:szCs w:val="20"/>
              </w:rPr>
              <w:t>-96 104,49</w:t>
            </w:r>
          </w:p>
        </w:tc>
      </w:tr>
      <w:tr w:rsidR="003F799E" w:rsidRPr="003F799E" w14:paraId="42999C37" w14:textId="77777777" w:rsidTr="009A5662">
        <w:trPr>
          <w:trHeight w:val="397"/>
        </w:trPr>
        <w:tc>
          <w:tcPr>
            <w:tcW w:w="1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5C038" w14:textId="77777777" w:rsidR="003F799E" w:rsidRPr="003F799E" w:rsidRDefault="003F799E" w:rsidP="003F799E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F799E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BE72D" w14:textId="003EFE0D" w:rsidR="003F799E" w:rsidRPr="00EB54F0" w:rsidRDefault="003F799E" w:rsidP="003F79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B54F0">
              <w:rPr>
                <w:b/>
                <w:bCs/>
                <w:sz w:val="20"/>
                <w:szCs w:val="20"/>
              </w:rPr>
              <w:t>-4 590 247,21</w:t>
            </w:r>
          </w:p>
        </w:tc>
        <w:tc>
          <w:tcPr>
            <w:tcW w:w="1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0AA72" w14:textId="0BA4F75E" w:rsidR="003F799E" w:rsidRPr="00EB54F0" w:rsidRDefault="003F799E" w:rsidP="003F79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B54F0">
              <w:rPr>
                <w:b/>
                <w:bCs/>
                <w:sz w:val="20"/>
                <w:szCs w:val="20"/>
              </w:rPr>
              <w:t>24 670 617,25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D66A" w14:textId="52B27EEE" w:rsidR="003F799E" w:rsidRPr="00EB54F0" w:rsidRDefault="003F799E" w:rsidP="003F799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EB54F0">
              <w:rPr>
                <w:b/>
                <w:bCs/>
                <w:sz w:val="20"/>
                <w:szCs w:val="20"/>
              </w:rPr>
              <w:t>29 260 864,46</w:t>
            </w:r>
          </w:p>
        </w:tc>
      </w:tr>
    </w:tbl>
    <w:p w14:paraId="32D4016A" w14:textId="77777777" w:rsidR="005D7D0A" w:rsidRPr="003F799E" w:rsidRDefault="005D7D0A" w:rsidP="005D7D0A">
      <w:pPr>
        <w:spacing w:before="120" w:after="0"/>
        <w:jc w:val="both"/>
        <w:rPr>
          <w:rFonts w:asciiTheme="minorHAnsi" w:hAnsiTheme="minorHAnsi" w:cstheme="minorHAnsi"/>
        </w:rPr>
      </w:pPr>
      <w:r w:rsidRPr="003F799E">
        <w:rPr>
          <w:rFonts w:asciiTheme="minorHAnsi" w:hAnsiTheme="minorHAnsi" w:cstheme="minorHAnsi"/>
        </w:rPr>
        <w:t>Źródło: opracowanie własne</w:t>
      </w:r>
    </w:p>
    <w:p w14:paraId="405541E0" w14:textId="77777777" w:rsidR="007D14FD" w:rsidRPr="009D03BD" w:rsidRDefault="007D14FD" w:rsidP="00432295">
      <w:pPr>
        <w:rPr>
          <w:rFonts w:asciiTheme="minorHAnsi" w:hAnsiTheme="minorHAnsi" w:cstheme="minorHAnsi"/>
          <w:highlight w:val="yellow"/>
        </w:rPr>
      </w:pPr>
    </w:p>
    <w:p w14:paraId="1A0ABFA0" w14:textId="75C5CCF8" w:rsidR="005D7D0A" w:rsidRPr="009D03BD" w:rsidRDefault="005D7D0A" w:rsidP="00432295">
      <w:pPr>
        <w:rPr>
          <w:rFonts w:asciiTheme="minorHAnsi" w:hAnsiTheme="minorHAnsi" w:cstheme="minorHAnsi"/>
          <w:highlight w:val="yellow"/>
        </w:rPr>
        <w:sectPr w:rsidR="005D7D0A" w:rsidRPr="009D03BD" w:rsidSect="003F4D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662834" w14:textId="77777777" w:rsidR="00530909" w:rsidRPr="00D47A75" w:rsidRDefault="00530909" w:rsidP="000168E8">
      <w:pPr>
        <w:pStyle w:val="Nagwek3"/>
        <w:spacing w:before="0" w:after="120"/>
        <w:ind w:left="0"/>
        <w:rPr>
          <w:rFonts w:asciiTheme="minorHAnsi" w:hAnsiTheme="minorHAnsi" w:cstheme="minorHAnsi"/>
          <w:szCs w:val="24"/>
        </w:rPr>
      </w:pPr>
      <w:r w:rsidRPr="00D47A75">
        <w:rPr>
          <w:rFonts w:asciiTheme="minorHAnsi" w:hAnsiTheme="minorHAnsi" w:cstheme="minorHAnsi"/>
          <w:szCs w:val="24"/>
        </w:rPr>
        <w:lastRenderedPageBreak/>
        <w:t>W</w:t>
      </w:r>
      <w:r w:rsidR="008B3CF9" w:rsidRPr="00D47A75">
        <w:rPr>
          <w:rFonts w:asciiTheme="minorHAnsi" w:hAnsiTheme="minorHAnsi" w:cstheme="minorHAnsi"/>
          <w:szCs w:val="24"/>
        </w:rPr>
        <w:t>stępny w</w:t>
      </w:r>
      <w:r w:rsidRPr="00D47A75">
        <w:rPr>
          <w:rFonts w:asciiTheme="minorHAnsi" w:hAnsiTheme="minorHAnsi" w:cstheme="minorHAnsi"/>
          <w:szCs w:val="24"/>
        </w:rPr>
        <w:t>ynik finansowy skorygowany o amortyzację</w:t>
      </w:r>
    </w:p>
    <w:p w14:paraId="4F212CE1" w14:textId="6A4021B1" w:rsidR="0082337E" w:rsidRPr="00D47A75" w:rsidRDefault="0082337E" w:rsidP="0082337E">
      <w:pPr>
        <w:jc w:val="both"/>
        <w:rPr>
          <w:rFonts w:asciiTheme="minorHAnsi" w:hAnsiTheme="minorHAnsi" w:cstheme="minorHAnsi"/>
          <w:sz w:val="24"/>
          <w:szCs w:val="24"/>
        </w:rPr>
      </w:pPr>
      <w:r w:rsidRPr="00D47A75">
        <w:rPr>
          <w:rFonts w:asciiTheme="minorHAnsi" w:hAnsiTheme="minorHAnsi" w:cstheme="minorHAnsi"/>
          <w:sz w:val="24"/>
          <w:szCs w:val="24"/>
        </w:rPr>
        <w:t xml:space="preserve">Wynik finansowy skorygowany o amortyzację według </w:t>
      </w:r>
      <w:r w:rsidR="005E46F5" w:rsidRPr="00D47A75">
        <w:rPr>
          <w:rFonts w:asciiTheme="minorHAnsi" w:hAnsiTheme="minorHAnsi" w:cstheme="minorHAnsi"/>
          <w:sz w:val="24"/>
          <w:szCs w:val="24"/>
        </w:rPr>
        <w:t xml:space="preserve">wstępnych </w:t>
      </w:r>
      <w:r w:rsidRPr="00D47A75">
        <w:rPr>
          <w:rFonts w:asciiTheme="minorHAnsi" w:hAnsiTheme="minorHAnsi" w:cstheme="minorHAnsi"/>
          <w:sz w:val="24"/>
          <w:szCs w:val="24"/>
        </w:rPr>
        <w:t xml:space="preserve">danych </w:t>
      </w:r>
      <w:r w:rsidR="008B3CF9" w:rsidRPr="00D47A75">
        <w:rPr>
          <w:rFonts w:asciiTheme="minorHAnsi" w:hAnsiTheme="minorHAnsi" w:cstheme="minorHAnsi"/>
          <w:sz w:val="24"/>
          <w:szCs w:val="24"/>
        </w:rPr>
        <w:t>na koniec 202</w:t>
      </w:r>
      <w:r w:rsidR="008E6255" w:rsidRPr="00D47A75">
        <w:rPr>
          <w:rFonts w:asciiTheme="minorHAnsi" w:hAnsiTheme="minorHAnsi" w:cstheme="minorHAnsi"/>
          <w:sz w:val="24"/>
          <w:szCs w:val="24"/>
        </w:rPr>
        <w:t>3</w:t>
      </w:r>
      <w:r w:rsidR="008B3CF9" w:rsidRPr="00D47A75">
        <w:rPr>
          <w:rFonts w:asciiTheme="minorHAnsi" w:hAnsiTheme="minorHAnsi" w:cstheme="minorHAnsi"/>
          <w:sz w:val="24"/>
          <w:szCs w:val="24"/>
        </w:rPr>
        <w:t xml:space="preserve"> roku</w:t>
      </w:r>
      <w:r w:rsidRPr="00D47A75">
        <w:rPr>
          <w:rFonts w:asciiTheme="minorHAnsi" w:hAnsiTheme="minorHAnsi" w:cstheme="minorHAnsi"/>
          <w:sz w:val="24"/>
          <w:szCs w:val="24"/>
        </w:rPr>
        <w:t xml:space="preserve"> </w:t>
      </w:r>
      <w:r w:rsidR="007D14FD" w:rsidRPr="00D47A75">
        <w:rPr>
          <w:rFonts w:asciiTheme="minorHAnsi" w:hAnsiTheme="minorHAnsi" w:cstheme="minorHAnsi"/>
          <w:sz w:val="24"/>
          <w:szCs w:val="24"/>
        </w:rPr>
        <w:t>łącznie dla wszystkich</w:t>
      </w:r>
      <w:r w:rsidRPr="00D47A75">
        <w:rPr>
          <w:rFonts w:asciiTheme="minorHAnsi" w:hAnsiTheme="minorHAnsi" w:cstheme="minorHAnsi"/>
          <w:sz w:val="24"/>
          <w:szCs w:val="24"/>
        </w:rPr>
        <w:t xml:space="preserve"> podmiotów leczniczych wyniósł </w:t>
      </w:r>
      <w:r w:rsidR="008E6255" w:rsidRPr="00D47A75">
        <w:rPr>
          <w:rFonts w:asciiTheme="minorHAnsi" w:hAnsiTheme="minorHAnsi" w:cstheme="minorHAnsi"/>
          <w:sz w:val="24"/>
          <w:szCs w:val="24"/>
        </w:rPr>
        <w:t>98,79</w:t>
      </w:r>
      <w:r w:rsidRPr="00D47A75">
        <w:rPr>
          <w:rFonts w:asciiTheme="minorHAnsi" w:hAnsiTheme="minorHAnsi" w:cstheme="minorHAnsi"/>
          <w:sz w:val="24"/>
          <w:szCs w:val="24"/>
        </w:rPr>
        <w:t xml:space="preserve"> mln zł</w:t>
      </w:r>
      <w:r w:rsidR="000414A2" w:rsidRPr="00D47A75">
        <w:rPr>
          <w:rFonts w:asciiTheme="minorHAnsi" w:hAnsiTheme="minorHAnsi" w:cstheme="minorHAnsi"/>
          <w:sz w:val="24"/>
          <w:szCs w:val="24"/>
        </w:rPr>
        <w:t xml:space="preserve"> i w </w:t>
      </w:r>
      <w:r w:rsidRPr="00D47A75">
        <w:rPr>
          <w:rFonts w:asciiTheme="minorHAnsi" w:hAnsiTheme="minorHAnsi" w:cstheme="minorHAnsi"/>
          <w:sz w:val="24"/>
          <w:szCs w:val="24"/>
        </w:rPr>
        <w:t>porównaniu</w:t>
      </w:r>
      <w:r w:rsidR="007D14FD" w:rsidRPr="00D47A75">
        <w:rPr>
          <w:rFonts w:asciiTheme="minorHAnsi" w:hAnsiTheme="minorHAnsi" w:cstheme="minorHAnsi"/>
          <w:sz w:val="24"/>
          <w:szCs w:val="24"/>
        </w:rPr>
        <w:t xml:space="preserve"> do 202</w:t>
      </w:r>
      <w:r w:rsidR="008E6255" w:rsidRPr="00D47A75">
        <w:rPr>
          <w:rFonts w:asciiTheme="minorHAnsi" w:hAnsiTheme="minorHAnsi" w:cstheme="minorHAnsi"/>
          <w:sz w:val="24"/>
          <w:szCs w:val="24"/>
        </w:rPr>
        <w:t>2</w:t>
      </w:r>
      <w:r w:rsidR="007D14FD" w:rsidRPr="00D47A75">
        <w:rPr>
          <w:rFonts w:asciiTheme="minorHAnsi" w:hAnsiTheme="minorHAnsi" w:cstheme="minorHAnsi"/>
          <w:sz w:val="24"/>
          <w:szCs w:val="24"/>
        </w:rPr>
        <w:t xml:space="preserve"> roku zwiększył się o </w:t>
      </w:r>
      <w:r w:rsidR="008E6255" w:rsidRPr="00D47A75">
        <w:rPr>
          <w:rFonts w:asciiTheme="minorHAnsi" w:hAnsiTheme="minorHAnsi" w:cstheme="minorHAnsi"/>
          <w:sz w:val="24"/>
          <w:szCs w:val="24"/>
        </w:rPr>
        <w:t>35,05</w:t>
      </w:r>
      <w:r w:rsidR="007D14FD" w:rsidRPr="00D47A75">
        <w:rPr>
          <w:rFonts w:asciiTheme="minorHAnsi" w:hAnsiTheme="minorHAnsi" w:cstheme="minorHAnsi"/>
          <w:sz w:val="24"/>
          <w:szCs w:val="24"/>
        </w:rPr>
        <w:t xml:space="preserve"> mln zł,</w:t>
      </w:r>
      <w:r w:rsidRPr="00D47A75">
        <w:rPr>
          <w:rFonts w:asciiTheme="minorHAnsi" w:hAnsiTheme="minorHAnsi" w:cstheme="minorHAnsi"/>
          <w:sz w:val="24"/>
          <w:szCs w:val="24"/>
        </w:rPr>
        <w:t xml:space="preserve"> t</w:t>
      </w:r>
      <w:r w:rsidR="007D14FD" w:rsidRPr="00D47A75">
        <w:rPr>
          <w:rFonts w:asciiTheme="minorHAnsi" w:hAnsiTheme="minorHAnsi" w:cstheme="minorHAnsi"/>
          <w:sz w:val="24"/>
          <w:szCs w:val="24"/>
        </w:rPr>
        <w:t xml:space="preserve">j. o </w:t>
      </w:r>
      <w:r w:rsidR="00D47A75" w:rsidRPr="00D47A75">
        <w:rPr>
          <w:rFonts w:asciiTheme="minorHAnsi" w:hAnsiTheme="minorHAnsi" w:cstheme="minorHAnsi"/>
          <w:sz w:val="24"/>
          <w:szCs w:val="24"/>
        </w:rPr>
        <w:t>55</w:t>
      </w:r>
      <w:r w:rsidRPr="00D47A75">
        <w:rPr>
          <w:rFonts w:asciiTheme="minorHAnsi" w:hAnsiTheme="minorHAnsi" w:cstheme="minorHAnsi"/>
          <w:sz w:val="24"/>
          <w:szCs w:val="24"/>
        </w:rPr>
        <w:t xml:space="preserve">%. </w:t>
      </w:r>
    </w:p>
    <w:p w14:paraId="46C39359" w14:textId="49800DB3" w:rsidR="000414A2" w:rsidRPr="00D47A75" w:rsidRDefault="007D14FD" w:rsidP="001F13AF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D47A75">
        <w:rPr>
          <w:rFonts w:asciiTheme="minorHAnsi" w:hAnsiTheme="minorHAnsi" w:cstheme="minorHAnsi"/>
          <w:sz w:val="24"/>
          <w:szCs w:val="24"/>
        </w:rPr>
        <w:t>Ujemny wynik finansowy skorygowany o amortyzację w 202</w:t>
      </w:r>
      <w:r w:rsidR="0062065B">
        <w:rPr>
          <w:rFonts w:asciiTheme="minorHAnsi" w:hAnsiTheme="minorHAnsi" w:cstheme="minorHAnsi"/>
          <w:sz w:val="24"/>
          <w:szCs w:val="24"/>
        </w:rPr>
        <w:t>3</w:t>
      </w:r>
      <w:r w:rsidRPr="00D47A75">
        <w:rPr>
          <w:rFonts w:asciiTheme="minorHAnsi" w:hAnsiTheme="minorHAnsi" w:cstheme="minorHAnsi"/>
          <w:sz w:val="24"/>
          <w:szCs w:val="24"/>
        </w:rPr>
        <w:t xml:space="preserve"> roku wykazuj</w:t>
      </w:r>
      <w:r w:rsidR="00D47A75" w:rsidRPr="00D47A75">
        <w:rPr>
          <w:rFonts w:asciiTheme="minorHAnsi" w:hAnsiTheme="minorHAnsi" w:cstheme="minorHAnsi"/>
          <w:sz w:val="24"/>
          <w:szCs w:val="24"/>
        </w:rPr>
        <w:t>ą:</w:t>
      </w:r>
      <w:r w:rsidRPr="00D47A75">
        <w:rPr>
          <w:rFonts w:asciiTheme="minorHAnsi" w:hAnsiTheme="minorHAnsi" w:cstheme="minorHAnsi"/>
          <w:sz w:val="24"/>
          <w:szCs w:val="24"/>
        </w:rPr>
        <w:t xml:space="preserve"> Szpital w Tarnobrzegu</w:t>
      </w:r>
      <w:r w:rsidR="00D47A75" w:rsidRPr="00D47A75">
        <w:rPr>
          <w:rFonts w:asciiTheme="minorHAnsi" w:hAnsiTheme="minorHAnsi" w:cstheme="minorHAnsi"/>
          <w:sz w:val="24"/>
          <w:szCs w:val="24"/>
        </w:rPr>
        <w:t xml:space="preserve"> oraz w Krośnie</w:t>
      </w:r>
      <w:r w:rsidR="000414A2" w:rsidRPr="00D47A75">
        <w:rPr>
          <w:rFonts w:asciiTheme="minorHAnsi" w:hAnsiTheme="minorHAnsi" w:cstheme="minorHAnsi"/>
          <w:sz w:val="24"/>
          <w:szCs w:val="24"/>
        </w:rPr>
        <w:t>. Szczegółowe dane zawiera tabela</w:t>
      </w:r>
      <w:r w:rsidR="00CA3A6F">
        <w:rPr>
          <w:rFonts w:asciiTheme="minorHAnsi" w:hAnsiTheme="minorHAnsi" w:cstheme="minorHAnsi"/>
          <w:sz w:val="24"/>
          <w:szCs w:val="24"/>
        </w:rPr>
        <w:t xml:space="preserve"> nr </w:t>
      </w:r>
      <w:r w:rsidR="00EB54F0">
        <w:rPr>
          <w:rFonts w:asciiTheme="minorHAnsi" w:hAnsiTheme="minorHAnsi" w:cstheme="minorHAnsi"/>
          <w:sz w:val="24"/>
          <w:szCs w:val="24"/>
        </w:rPr>
        <w:t>3</w:t>
      </w:r>
      <w:r w:rsidR="00CA3A6F">
        <w:rPr>
          <w:rFonts w:asciiTheme="minorHAnsi" w:hAnsiTheme="minorHAnsi" w:cstheme="minorHAnsi"/>
          <w:sz w:val="24"/>
          <w:szCs w:val="24"/>
        </w:rPr>
        <w:t>.</w:t>
      </w:r>
    </w:p>
    <w:p w14:paraId="69AA3465" w14:textId="78A5FDDC" w:rsidR="00A5062F" w:rsidRPr="00D47A75" w:rsidRDefault="00A5062F" w:rsidP="00A5062F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D47A7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D47A7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D47A7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D47A7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3</w:t>
      </w:r>
      <w:r w:rsidR="00204628" w:rsidRPr="00D47A75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D47A7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D47A75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Wynik finansowy skorygowany o amortyzację wojewódzkich podmiotów leczniczych w latach 202</w:t>
      </w:r>
      <w:r w:rsidR="00D47A75" w:rsidRPr="00D47A75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2</w:t>
      </w:r>
      <w:r w:rsidRPr="00D47A75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-202</w:t>
      </w:r>
      <w:r w:rsidR="00D47A75" w:rsidRPr="00D47A75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3</w:t>
      </w:r>
      <w:r w:rsidRPr="00D47A75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.</w:t>
      </w: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3. Wynik finansowy skorygowany o amortyzację wojewódzkich podmiotów leczniczych w latach 2022-2023."/>
        <w:tblDescription w:val="Tabela zawiera informacje:  Podmiot leczniczy, Wynik finansowy skorygowany o amortyzację (stan na 31.12.2022 r.), Wynik finansowy skorygowany o amortyzację (stan na 31.12.2023 r.), Zmiana wyniku finansowego skorygowanego o amortyzację"/>
      </w:tblPr>
      <w:tblGrid>
        <w:gridCol w:w="2381"/>
        <w:gridCol w:w="2381"/>
        <w:gridCol w:w="2381"/>
        <w:gridCol w:w="1928"/>
      </w:tblGrid>
      <w:tr w:rsidR="007D14FD" w:rsidRPr="006D3128" w14:paraId="695C517B" w14:textId="77777777" w:rsidTr="00672C70">
        <w:trPr>
          <w:trHeight w:val="107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ED3A8" w14:textId="77777777" w:rsidR="007D14FD" w:rsidRPr="006D3128" w:rsidRDefault="007D14FD" w:rsidP="009A56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ABF1B" w14:textId="14395DF1" w:rsidR="007D14FD" w:rsidRPr="006D3128" w:rsidRDefault="007D14FD" w:rsidP="009A56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finansowy skorygowany o amortyzację </w:t>
            </w:r>
            <w:r w:rsidRPr="006D31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6D31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D47A75" w:rsidRPr="006D31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6D31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23803" w14:textId="5AE9F48A" w:rsidR="007D14FD" w:rsidRPr="006D3128" w:rsidRDefault="007D14FD" w:rsidP="009A56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Wynik finansowy skorygowany o amortyzację </w:t>
            </w:r>
            <w:r w:rsidRPr="006D31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6D31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D47A75" w:rsidRPr="006D31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6D3128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BB6B1" w14:textId="77777777" w:rsidR="007D14FD" w:rsidRPr="006D3128" w:rsidRDefault="007D14FD" w:rsidP="009A566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 wyniku finansowego skorygowanego o amortyzację</w:t>
            </w:r>
          </w:p>
        </w:tc>
      </w:tr>
      <w:tr w:rsidR="006D3128" w:rsidRPr="006D3128" w14:paraId="3D23FBF1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D3DB4" w14:textId="65298ED6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KSW nr 2 Rzeszów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50C31" w14:textId="0EEA85ED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32 543 807,55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1798F" w14:textId="374FB628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64 084 505,07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140E9" w14:textId="4B14AD6C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31 540 697,52</w:t>
            </w:r>
          </w:p>
        </w:tc>
      </w:tr>
      <w:tr w:rsidR="006D3128" w:rsidRPr="006D3128" w14:paraId="35BD6078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52977" w14:textId="3545665A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WSP Krosno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476B3" w14:textId="0B93BF59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4 088 526,45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A7AE8" w14:textId="7E4883DE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-5 890 877,52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9F3DF" w14:textId="43026B3D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-9 979 403,97</w:t>
            </w:r>
          </w:p>
        </w:tc>
      </w:tr>
      <w:tr w:rsidR="006D3128" w:rsidRPr="006D3128" w14:paraId="6DF1613F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AA6C0" w14:textId="028D181F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WS Przemyśl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BE559" w14:textId="71976FAD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15 677 986,44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A59C2" w14:textId="0C682DFD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20 606 008,46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421375" w14:textId="3AED98D6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4 928 022,02</w:t>
            </w:r>
          </w:p>
        </w:tc>
      </w:tr>
      <w:tr w:rsidR="006D3128" w:rsidRPr="006D3128" w14:paraId="33B920FC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C9463" w14:textId="1989D75E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WS Tarnobrzeg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458663" w14:textId="3763679C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-6 137 424,28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1576F" w14:textId="0E5EA266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-1 485 904,60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42480" w14:textId="1FB7AFCA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4 651 519,68</w:t>
            </w:r>
          </w:p>
        </w:tc>
      </w:tr>
      <w:tr w:rsidR="006D3128" w:rsidRPr="006D3128" w14:paraId="137149C0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33F42" w14:textId="2AB2BCE1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SP ZOZ Jarosław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EAD68" w14:textId="6E86CE48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4 846 067,09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F2DDF" w14:textId="79050E0C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6 648 253,74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F9B9A" w14:textId="5340E9AF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1 802 186,65</w:t>
            </w:r>
          </w:p>
        </w:tc>
      </w:tr>
      <w:tr w:rsidR="006D3128" w:rsidRPr="006D3128" w14:paraId="291AF012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70651" w14:textId="239E4979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WPSP Żurawica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A3AC7" w14:textId="665EA934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-841 643,55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DA6C0" w14:textId="5F14BA34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63 504,99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3185F" w14:textId="3EF9DA30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905 148,54</w:t>
            </w:r>
          </w:p>
        </w:tc>
      </w:tr>
      <w:tr w:rsidR="006D3128" w:rsidRPr="006D3128" w14:paraId="79AA71F6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8AA2D" w14:textId="57FAADDE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WZS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52655" w14:textId="7A5BD03C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4 452 680,03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C8E9B" w14:textId="41615C5E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3 799 691,17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79060" w14:textId="4C31FD55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-652 988,86</w:t>
            </w:r>
          </w:p>
        </w:tc>
      </w:tr>
      <w:tr w:rsidR="006D3128" w:rsidRPr="006D3128" w14:paraId="67A9A106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2E853" w14:textId="0DFBAFC6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WOMP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778AB" w14:textId="40FF4224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565 238,25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CFAA8" w14:textId="5FD604CB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545 434,96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88E442" w14:textId="22AEDA50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-19 803,29</w:t>
            </w:r>
          </w:p>
        </w:tc>
      </w:tr>
      <w:tr w:rsidR="006D3128" w:rsidRPr="006D3128" w14:paraId="72927DA6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35657" w14:textId="1E399F2A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PCM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44EC7" w14:textId="1726A647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366 322,47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EF5D7" w14:textId="7DCBC6E9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872 804,22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A393B" w14:textId="072D7DCA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506 481,75</w:t>
            </w:r>
          </w:p>
        </w:tc>
      </w:tr>
      <w:tr w:rsidR="006D3128" w:rsidRPr="006D3128" w14:paraId="706C0806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B34D3" w14:textId="2B8C0224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WSPR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675AA" w14:textId="55242BE5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3 864 174,10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CF410" w14:textId="1FFC0C75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4 757 513,63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C0D04" w14:textId="195AB6B8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893 339,53</w:t>
            </w:r>
          </w:p>
        </w:tc>
      </w:tr>
      <w:tr w:rsidR="006D3128" w:rsidRPr="006D3128" w14:paraId="1B8D75E4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CC982" w14:textId="2EC30B34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WSPR Przemyśl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4B7FD3" w14:textId="1E39A984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3 794 878,87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3CEBE" w14:textId="2C7BAA88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4 256 663,00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CF2A0F" w14:textId="7121129D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461 784,13</w:t>
            </w:r>
          </w:p>
        </w:tc>
      </w:tr>
      <w:tr w:rsidR="006D3128" w:rsidRPr="006D3128" w14:paraId="77A04709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069CC" w14:textId="6D4E8E16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WOTU Rzeszów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772E7" w14:textId="0B5EC8AC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156 767,21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FDFCE" w14:textId="504B2879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260 996,34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9E483" w14:textId="70CB3D2A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104 229,13</w:t>
            </w:r>
          </w:p>
        </w:tc>
      </w:tr>
      <w:tr w:rsidR="006D3128" w:rsidRPr="006D3128" w14:paraId="1BB9A0BA" w14:textId="77777777" w:rsidTr="005E43CC">
        <w:trPr>
          <w:trHeight w:val="170"/>
        </w:trPr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20F1E" w14:textId="1C41C724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WOTUiA Stalowa Wola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ACCA3" w14:textId="695DCCF6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359 095,34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961C8" w14:textId="0F805C89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270 710,65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1903F5" w14:textId="7A3FBACE" w:rsidR="006D3128" w:rsidRPr="006D3128" w:rsidRDefault="006D3128" w:rsidP="006D3128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sz w:val="20"/>
                <w:szCs w:val="20"/>
              </w:rPr>
              <w:t>-88 384,69</w:t>
            </w:r>
          </w:p>
        </w:tc>
      </w:tr>
      <w:tr w:rsidR="006D3128" w:rsidRPr="006D3128" w14:paraId="6E5C23DC" w14:textId="77777777" w:rsidTr="00672C70">
        <w:trPr>
          <w:trHeight w:val="39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7C76D" w14:textId="77777777" w:rsidR="006D3128" w:rsidRPr="006D3128" w:rsidRDefault="006D3128" w:rsidP="006D3128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SUMA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81DB" w14:textId="48122562" w:rsidR="006D3128" w:rsidRPr="006D3128" w:rsidRDefault="006D3128" w:rsidP="00672C7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63 736 475,97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47F8F" w14:textId="1F38A76B" w:rsidR="006D3128" w:rsidRPr="006D3128" w:rsidRDefault="006D3128" w:rsidP="00672C7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98 789 304,11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51FD" w14:textId="2941071C" w:rsidR="006D3128" w:rsidRPr="006D3128" w:rsidRDefault="006D3128" w:rsidP="00672C7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D31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35 052 828,14</w:t>
            </w:r>
          </w:p>
        </w:tc>
      </w:tr>
    </w:tbl>
    <w:p w14:paraId="0ACC643B" w14:textId="502417A8" w:rsidR="005D7D0A" w:rsidRPr="006D3128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6D3128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5FD89DAA" w14:textId="04FA20E3" w:rsidR="00530909" w:rsidRPr="00D91D14" w:rsidRDefault="00355220" w:rsidP="008B3CF9">
      <w:pPr>
        <w:pStyle w:val="Nagwek3"/>
        <w:spacing w:before="600" w:after="120"/>
        <w:ind w:left="0"/>
        <w:rPr>
          <w:rFonts w:asciiTheme="minorHAnsi" w:hAnsiTheme="minorHAnsi" w:cstheme="minorHAnsi"/>
          <w:szCs w:val="24"/>
        </w:rPr>
      </w:pPr>
      <w:r w:rsidRPr="00D91D14">
        <w:rPr>
          <w:rFonts w:asciiTheme="minorHAnsi" w:hAnsiTheme="minorHAnsi" w:cstheme="minorHAnsi"/>
          <w:szCs w:val="24"/>
        </w:rPr>
        <w:t>Koszty</w:t>
      </w:r>
      <w:r w:rsidR="000414A2" w:rsidRPr="00D91D14">
        <w:rPr>
          <w:rFonts w:asciiTheme="minorHAnsi" w:hAnsiTheme="minorHAnsi" w:cstheme="minorHAnsi"/>
          <w:szCs w:val="24"/>
        </w:rPr>
        <w:t xml:space="preserve"> i przychody ogółem</w:t>
      </w:r>
    </w:p>
    <w:p w14:paraId="14256E95" w14:textId="7FD52B5E" w:rsidR="00015273" w:rsidRPr="00D91D14" w:rsidRDefault="00355220" w:rsidP="008B3CF9">
      <w:pPr>
        <w:jc w:val="both"/>
        <w:rPr>
          <w:rFonts w:asciiTheme="minorHAnsi" w:hAnsiTheme="minorHAnsi" w:cstheme="minorHAnsi"/>
          <w:sz w:val="24"/>
          <w:szCs w:val="24"/>
        </w:rPr>
      </w:pPr>
      <w:r w:rsidRPr="00D91D14">
        <w:rPr>
          <w:rFonts w:asciiTheme="minorHAnsi" w:hAnsiTheme="minorHAnsi" w:cstheme="minorHAnsi"/>
          <w:sz w:val="24"/>
          <w:szCs w:val="24"/>
        </w:rPr>
        <w:t xml:space="preserve">Koszty </w:t>
      </w:r>
      <w:r w:rsidR="00B206ED" w:rsidRPr="00D91D14">
        <w:rPr>
          <w:rFonts w:asciiTheme="minorHAnsi" w:hAnsiTheme="minorHAnsi" w:cstheme="minorHAnsi"/>
          <w:sz w:val="24"/>
          <w:szCs w:val="24"/>
        </w:rPr>
        <w:t>ogółem poniesione przez wojewódzkie podmioty lecznicze w 202</w:t>
      </w:r>
      <w:r w:rsidR="00D91D14" w:rsidRPr="00D91D14">
        <w:rPr>
          <w:rFonts w:asciiTheme="minorHAnsi" w:hAnsiTheme="minorHAnsi" w:cstheme="minorHAnsi"/>
          <w:sz w:val="24"/>
          <w:szCs w:val="24"/>
        </w:rPr>
        <w:t>3</w:t>
      </w:r>
      <w:r w:rsidR="00B206ED" w:rsidRPr="00D91D14">
        <w:rPr>
          <w:rFonts w:asciiTheme="minorHAnsi" w:hAnsiTheme="minorHAnsi" w:cstheme="minorHAnsi"/>
          <w:sz w:val="24"/>
          <w:szCs w:val="24"/>
        </w:rPr>
        <w:t xml:space="preserve"> r. </w:t>
      </w:r>
      <w:r w:rsidR="005E46F5" w:rsidRPr="00D91D14">
        <w:rPr>
          <w:rFonts w:asciiTheme="minorHAnsi" w:hAnsiTheme="minorHAnsi" w:cstheme="minorHAnsi"/>
          <w:sz w:val="24"/>
          <w:szCs w:val="24"/>
        </w:rPr>
        <w:t>wg</w:t>
      </w:r>
      <w:r w:rsidR="006A79C6" w:rsidRPr="00D91D14">
        <w:rPr>
          <w:rFonts w:asciiTheme="minorHAnsi" w:hAnsiTheme="minorHAnsi" w:cstheme="minorHAnsi"/>
          <w:sz w:val="24"/>
          <w:szCs w:val="24"/>
        </w:rPr>
        <w:t> </w:t>
      </w:r>
      <w:r w:rsidR="005E46F5" w:rsidRPr="00D91D14">
        <w:rPr>
          <w:rFonts w:asciiTheme="minorHAnsi" w:hAnsiTheme="minorHAnsi" w:cstheme="minorHAnsi"/>
          <w:sz w:val="24"/>
          <w:szCs w:val="24"/>
        </w:rPr>
        <w:t xml:space="preserve">wstępnych danych </w:t>
      </w:r>
      <w:r w:rsidR="00B206ED" w:rsidRPr="00D91D14">
        <w:rPr>
          <w:rFonts w:asciiTheme="minorHAnsi" w:hAnsiTheme="minorHAnsi" w:cstheme="minorHAnsi"/>
          <w:sz w:val="24"/>
          <w:szCs w:val="24"/>
        </w:rPr>
        <w:t>wyniosły 1</w:t>
      </w:r>
      <w:r w:rsidR="00EB54F0">
        <w:rPr>
          <w:rFonts w:asciiTheme="minorHAnsi" w:hAnsiTheme="minorHAnsi" w:cstheme="minorHAnsi"/>
          <w:sz w:val="24"/>
          <w:szCs w:val="24"/>
        </w:rPr>
        <w:t> </w:t>
      </w:r>
      <w:r w:rsidR="00D91D14" w:rsidRPr="00D91D14">
        <w:rPr>
          <w:rFonts w:asciiTheme="minorHAnsi" w:hAnsiTheme="minorHAnsi" w:cstheme="minorHAnsi"/>
          <w:sz w:val="24"/>
          <w:szCs w:val="24"/>
        </w:rPr>
        <w:t>841</w:t>
      </w:r>
      <w:r w:rsidR="00EB54F0">
        <w:rPr>
          <w:rFonts w:asciiTheme="minorHAnsi" w:hAnsiTheme="minorHAnsi" w:cstheme="minorHAnsi"/>
          <w:sz w:val="24"/>
          <w:szCs w:val="24"/>
        </w:rPr>
        <w:t>,1</w:t>
      </w:r>
      <w:r w:rsidR="00B206ED" w:rsidRPr="00D91D14">
        <w:rPr>
          <w:rFonts w:asciiTheme="minorHAnsi" w:hAnsiTheme="minorHAnsi" w:cstheme="minorHAnsi"/>
          <w:sz w:val="24"/>
          <w:szCs w:val="24"/>
        </w:rPr>
        <w:t> mln </w:t>
      </w:r>
      <w:r w:rsidRPr="00D91D14">
        <w:rPr>
          <w:rFonts w:asciiTheme="minorHAnsi" w:hAnsiTheme="minorHAnsi" w:cstheme="minorHAnsi"/>
          <w:sz w:val="24"/>
          <w:szCs w:val="24"/>
        </w:rPr>
        <w:t xml:space="preserve">zł </w:t>
      </w:r>
      <w:r w:rsidR="00B206ED" w:rsidRPr="00D91D14">
        <w:rPr>
          <w:rFonts w:asciiTheme="minorHAnsi" w:hAnsiTheme="minorHAnsi" w:cstheme="minorHAnsi"/>
          <w:sz w:val="24"/>
          <w:szCs w:val="24"/>
        </w:rPr>
        <w:t>i wzrosły</w:t>
      </w:r>
      <w:r w:rsidR="005E46F5" w:rsidRPr="00D91D14">
        <w:rPr>
          <w:rFonts w:asciiTheme="minorHAnsi" w:hAnsiTheme="minorHAnsi" w:cstheme="minorHAnsi"/>
          <w:sz w:val="24"/>
          <w:szCs w:val="24"/>
        </w:rPr>
        <w:t xml:space="preserve"> w porównaniu do 202</w:t>
      </w:r>
      <w:r w:rsidR="00D91D14" w:rsidRPr="00D91D14">
        <w:rPr>
          <w:rFonts w:asciiTheme="minorHAnsi" w:hAnsiTheme="minorHAnsi" w:cstheme="minorHAnsi"/>
          <w:sz w:val="24"/>
          <w:szCs w:val="24"/>
        </w:rPr>
        <w:t>2</w:t>
      </w:r>
      <w:r w:rsidR="005E46F5" w:rsidRPr="00D91D14">
        <w:rPr>
          <w:rFonts w:asciiTheme="minorHAnsi" w:hAnsiTheme="minorHAnsi" w:cstheme="minorHAnsi"/>
          <w:sz w:val="24"/>
          <w:szCs w:val="24"/>
        </w:rPr>
        <w:t xml:space="preserve"> roku o </w:t>
      </w:r>
      <w:r w:rsidR="00D91D14" w:rsidRPr="00D91D14">
        <w:rPr>
          <w:rFonts w:asciiTheme="minorHAnsi" w:hAnsiTheme="minorHAnsi" w:cstheme="minorHAnsi"/>
          <w:sz w:val="24"/>
          <w:szCs w:val="24"/>
        </w:rPr>
        <w:t>301,93</w:t>
      </w:r>
      <w:r w:rsidR="00B206ED" w:rsidRPr="00D91D14">
        <w:rPr>
          <w:rFonts w:asciiTheme="minorHAnsi" w:hAnsiTheme="minorHAnsi" w:cstheme="minorHAnsi"/>
          <w:sz w:val="24"/>
          <w:szCs w:val="24"/>
        </w:rPr>
        <w:t xml:space="preserve"> mln zł, </w:t>
      </w:r>
      <w:r w:rsidR="00D91D14" w:rsidRPr="00D91D14">
        <w:rPr>
          <w:rFonts w:asciiTheme="minorHAnsi" w:hAnsiTheme="minorHAnsi" w:cstheme="minorHAnsi"/>
          <w:sz w:val="24"/>
          <w:szCs w:val="24"/>
        </w:rPr>
        <w:br/>
      </w:r>
      <w:r w:rsidR="00B206ED" w:rsidRPr="00D91D14">
        <w:rPr>
          <w:rFonts w:asciiTheme="minorHAnsi" w:hAnsiTheme="minorHAnsi" w:cstheme="minorHAnsi"/>
          <w:sz w:val="24"/>
          <w:szCs w:val="24"/>
        </w:rPr>
        <w:t xml:space="preserve">tj. o </w:t>
      </w:r>
      <w:r w:rsidR="00D91D14" w:rsidRPr="00D91D14">
        <w:rPr>
          <w:rFonts w:asciiTheme="minorHAnsi" w:hAnsiTheme="minorHAnsi" w:cstheme="minorHAnsi"/>
          <w:sz w:val="24"/>
          <w:szCs w:val="24"/>
        </w:rPr>
        <w:t>19,62</w:t>
      </w:r>
      <w:r w:rsidRPr="00D91D14">
        <w:rPr>
          <w:rFonts w:asciiTheme="minorHAnsi" w:hAnsiTheme="minorHAnsi" w:cstheme="minorHAnsi"/>
          <w:sz w:val="24"/>
          <w:szCs w:val="24"/>
        </w:rPr>
        <w:t>%</w:t>
      </w:r>
      <w:r w:rsidR="00B206ED" w:rsidRPr="00D91D1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B100C36" w14:textId="394389FB" w:rsidR="008B3CF9" w:rsidRPr="00852C80" w:rsidRDefault="008B3CF9" w:rsidP="008B3CF9">
      <w:pPr>
        <w:jc w:val="both"/>
        <w:rPr>
          <w:rFonts w:asciiTheme="minorHAnsi" w:hAnsiTheme="minorHAnsi" w:cstheme="minorHAnsi"/>
          <w:sz w:val="24"/>
          <w:szCs w:val="24"/>
        </w:rPr>
      </w:pPr>
      <w:r w:rsidRPr="00852C80">
        <w:rPr>
          <w:rFonts w:asciiTheme="minorHAnsi" w:hAnsiTheme="minorHAnsi" w:cstheme="minorHAnsi"/>
          <w:sz w:val="24"/>
          <w:szCs w:val="24"/>
        </w:rPr>
        <w:t xml:space="preserve">Przychody ogółem wojewódzkich podmiotów leczniczych według wstępnych danych na koniec </w:t>
      </w:r>
      <w:r w:rsidR="00D91D14" w:rsidRPr="00852C80">
        <w:rPr>
          <w:rFonts w:asciiTheme="minorHAnsi" w:hAnsiTheme="minorHAnsi" w:cstheme="minorHAnsi"/>
          <w:sz w:val="24"/>
          <w:szCs w:val="24"/>
        </w:rPr>
        <w:t>2023</w:t>
      </w:r>
      <w:r w:rsidR="0062065B">
        <w:rPr>
          <w:rFonts w:asciiTheme="minorHAnsi" w:hAnsiTheme="minorHAnsi" w:cstheme="minorHAnsi"/>
          <w:sz w:val="24"/>
          <w:szCs w:val="24"/>
        </w:rPr>
        <w:t> </w:t>
      </w:r>
      <w:r w:rsidRPr="00852C80">
        <w:rPr>
          <w:rFonts w:asciiTheme="minorHAnsi" w:hAnsiTheme="minorHAnsi" w:cstheme="minorHAnsi"/>
          <w:sz w:val="24"/>
          <w:szCs w:val="24"/>
        </w:rPr>
        <w:t>r. wyniosły 1</w:t>
      </w:r>
      <w:r w:rsidR="00D91D14" w:rsidRPr="00852C80">
        <w:rPr>
          <w:rFonts w:asciiTheme="minorHAnsi" w:hAnsiTheme="minorHAnsi" w:cstheme="minorHAnsi"/>
          <w:sz w:val="24"/>
          <w:szCs w:val="24"/>
        </w:rPr>
        <w:t> 8</w:t>
      </w:r>
      <w:r w:rsidR="00EB54F0">
        <w:rPr>
          <w:rFonts w:asciiTheme="minorHAnsi" w:hAnsiTheme="minorHAnsi" w:cstheme="minorHAnsi"/>
          <w:sz w:val="24"/>
          <w:szCs w:val="24"/>
        </w:rPr>
        <w:t>65</w:t>
      </w:r>
      <w:r w:rsidR="00D91D14" w:rsidRPr="00852C80">
        <w:rPr>
          <w:rFonts w:asciiTheme="minorHAnsi" w:hAnsiTheme="minorHAnsi" w:cstheme="minorHAnsi"/>
          <w:sz w:val="24"/>
          <w:szCs w:val="24"/>
        </w:rPr>
        <w:t>,77</w:t>
      </w:r>
      <w:r w:rsidRPr="00852C80">
        <w:rPr>
          <w:rFonts w:asciiTheme="minorHAnsi" w:hAnsiTheme="minorHAnsi" w:cstheme="minorHAnsi"/>
          <w:sz w:val="24"/>
          <w:szCs w:val="24"/>
        </w:rPr>
        <w:t xml:space="preserve"> mln zł i wzrosły o </w:t>
      </w:r>
      <w:r w:rsidR="00D91D14" w:rsidRPr="00852C80">
        <w:rPr>
          <w:rFonts w:asciiTheme="minorHAnsi" w:hAnsiTheme="minorHAnsi" w:cstheme="minorHAnsi"/>
          <w:sz w:val="24"/>
          <w:szCs w:val="24"/>
        </w:rPr>
        <w:t>331</w:t>
      </w:r>
      <w:r w:rsidRPr="00852C80">
        <w:rPr>
          <w:rFonts w:asciiTheme="minorHAnsi" w:hAnsiTheme="minorHAnsi" w:cstheme="minorHAnsi"/>
          <w:sz w:val="24"/>
          <w:szCs w:val="24"/>
        </w:rPr>
        <w:t xml:space="preserve"> mln zł w porównaniu do 202</w:t>
      </w:r>
      <w:r w:rsidR="0062065B">
        <w:rPr>
          <w:rFonts w:asciiTheme="minorHAnsi" w:hAnsiTheme="minorHAnsi" w:cstheme="minorHAnsi"/>
          <w:sz w:val="24"/>
          <w:szCs w:val="24"/>
        </w:rPr>
        <w:t>2</w:t>
      </w:r>
      <w:r w:rsidRPr="00852C80">
        <w:rPr>
          <w:rFonts w:asciiTheme="minorHAnsi" w:hAnsiTheme="minorHAnsi" w:cstheme="minorHAnsi"/>
          <w:sz w:val="24"/>
          <w:szCs w:val="24"/>
        </w:rPr>
        <w:t xml:space="preserve"> r., tj. o </w:t>
      </w:r>
      <w:r w:rsidR="00D91D14" w:rsidRPr="00852C80">
        <w:rPr>
          <w:rFonts w:asciiTheme="minorHAnsi" w:hAnsiTheme="minorHAnsi" w:cstheme="minorHAnsi"/>
          <w:sz w:val="24"/>
          <w:szCs w:val="24"/>
        </w:rPr>
        <w:t>21,57</w:t>
      </w:r>
      <w:r w:rsidRPr="00852C80">
        <w:rPr>
          <w:rFonts w:asciiTheme="minorHAnsi" w:hAnsiTheme="minorHAnsi" w:cstheme="minorHAnsi"/>
          <w:sz w:val="24"/>
          <w:szCs w:val="24"/>
        </w:rPr>
        <w:t>%.</w:t>
      </w:r>
    </w:p>
    <w:p w14:paraId="5B822DE6" w14:textId="0145F3BF" w:rsidR="00E86E6D" w:rsidRPr="00852C80" w:rsidRDefault="00852C80" w:rsidP="00E86E6D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852C80">
        <w:rPr>
          <w:rFonts w:asciiTheme="minorHAnsi" w:hAnsiTheme="minorHAnsi" w:cstheme="minorHAnsi"/>
          <w:sz w:val="24"/>
          <w:szCs w:val="24"/>
        </w:rPr>
        <w:t xml:space="preserve">Przychody przewyższyły koszty o </w:t>
      </w:r>
      <w:r w:rsidR="00E86E6D" w:rsidRPr="00852C80">
        <w:rPr>
          <w:rFonts w:asciiTheme="minorHAnsi" w:hAnsiTheme="minorHAnsi" w:cstheme="minorHAnsi"/>
          <w:sz w:val="24"/>
          <w:szCs w:val="24"/>
        </w:rPr>
        <w:t xml:space="preserve"> </w:t>
      </w:r>
      <w:r w:rsidRPr="00852C80">
        <w:rPr>
          <w:rFonts w:ascii="Calibri" w:eastAsia="Times New Roman" w:hAnsi="Calibri" w:cs="Calibri"/>
          <w:color w:val="000000"/>
          <w:lang w:eastAsia="pl-PL"/>
        </w:rPr>
        <w:t xml:space="preserve">24 670 617,25 </w:t>
      </w:r>
      <w:r w:rsidR="00E86E6D" w:rsidRPr="00852C80">
        <w:rPr>
          <w:rFonts w:ascii="Calibri" w:eastAsia="Times New Roman" w:hAnsi="Calibri" w:cs="Calibri"/>
          <w:color w:val="000000"/>
          <w:lang w:eastAsia="pl-PL"/>
        </w:rPr>
        <w:t>zł</w:t>
      </w:r>
      <w:r w:rsidR="0095084D">
        <w:rPr>
          <w:rFonts w:ascii="Calibri" w:eastAsia="Times New Roman" w:hAnsi="Calibri" w:cs="Calibri"/>
          <w:color w:val="000000"/>
          <w:lang w:eastAsia="pl-PL"/>
        </w:rPr>
        <w:t>.</w:t>
      </w:r>
    </w:p>
    <w:p w14:paraId="31B17BC3" w14:textId="3240F6B9" w:rsidR="008B3CF9" w:rsidRPr="00852C80" w:rsidRDefault="008B3CF9" w:rsidP="008B3CF9">
      <w:pPr>
        <w:jc w:val="both"/>
        <w:rPr>
          <w:rFonts w:asciiTheme="minorHAnsi" w:hAnsiTheme="minorHAnsi" w:cstheme="minorHAnsi"/>
          <w:sz w:val="24"/>
          <w:szCs w:val="24"/>
        </w:rPr>
      </w:pPr>
      <w:r w:rsidRPr="00852C80">
        <w:rPr>
          <w:rFonts w:asciiTheme="minorHAnsi" w:hAnsiTheme="minorHAnsi" w:cstheme="minorHAnsi"/>
          <w:sz w:val="24"/>
          <w:szCs w:val="24"/>
        </w:rPr>
        <w:t xml:space="preserve">Szczegółowe dane o kosztach i przychodach zawierają tabele </w:t>
      </w:r>
      <w:r w:rsidR="00CA3A6F">
        <w:rPr>
          <w:rFonts w:asciiTheme="minorHAnsi" w:hAnsiTheme="minorHAnsi" w:cstheme="minorHAnsi"/>
          <w:sz w:val="24"/>
          <w:szCs w:val="24"/>
        </w:rPr>
        <w:t xml:space="preserve">nr </w:t>
      </w:r>
      <w:r w:rsidR="00EB54F0">
        <w:rPr>
          <w:rFonts w:asciiTheme="minorHAnsi" w:hAnsiTheme="minorHAnsi" w:cstheme="minorHAnsi"/>
          <w:sz w:val="24"/>
          <w:szCs w:val="24"/>
        </w:rPr>
        <w:t>4</w:t>
      </w:r>
      <w:r w:rsidR="0095084D">
        <w:rPr>
          <w:rFonts w:asciiTheme="minorHAnsi" w:hAnsiTheme="minorHAnsi" w:cstheme="minorHAnsi"/>
          <w:sz w:val="24"/>
          <w:szCs w:val="24"/>
        </w:rPr>
        <w:t xml:space="preserve"> i 5</w:t>
      </w:r>
      <w:r w:rsidRPr="00852C80">
        <w:rPr>
          <w:rFonts w:asciiTheme="minorHAnsi" w:hAnsiTheme="minorHAnsi" w:cstheme="minorHAnsi"/>
          <w:sz w:val="24"/>
          <w:szCs w:val="24"/>
        </w:rPr>
        <w:t>.</w:t>
      </w:r>
    </w:p>
    <w:p w14:paraId="00E5C355" w14:textId="77777777" w:rsidR="008B3CF9" w:rsidRPr="009D03BD" w:rsidRDefault="008B3CF9" w:rsidP="008B3CF9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9833F0B" w14:textId="77777777" w:rsidR="008B3CF9" w:rsidRPr="009D03BD" w:rsidRDefault="008B3CF9" w:rsidP="008B3CF9">
      <w:pPr>
        <w:jc w:val="both"/>
        <w:rPr>
          <w:rFonts w:asciiTheme="minorHAnsi" w:hAnsiTheme="minorHAnsi" w:cstheme="minorHAnsi"/>
          <w:sz w:val="24"/>
          <w:szCs w:val="24"/>
          <w:highlight w:val="yellow"/>
        </w:rPr>
        <w:sectPr w:rsidR="008B3CF9" w:rsidRPr="009D03BD" w:rsidSect="003F4DA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30EB603" w14:textId="45F3EDEB" w:rsidR="008C3A40" w:rsidRPr="00070B42" w:rsidRDefault="008C3A40" w:rsidP="008C3A4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070B42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lastRenderedPageBreak/>
        <w:t xml:space="preserve">Tabela </w:t>
      </w:r>
      <w:r w:rsidR="00204628" w:rsidRPr="00070B42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070B42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070B42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4</w:t>
      </w:r>
      <w:r w:rsidR="00204628" w:rsidRPr="00070B42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070B42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070B42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Koszty ogółem wojewódzkich podmiotów leczniczych w latach 202</w:t>
      </w:r>
      <w:r w:rsidR="00070B42" w:rsidRPr="00070B42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2</w:t>
      </w:r>
      <w:r w:rsidRPr="00070B42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-202</w:t>
      </w:r>
      <w:r w:rsidR="00070B42" w:rsidRPr="00070B42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3</w:t>
      </w:r>
      <w:r w:rsidRPr="00070B42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.</w:t>
      </w:r>
    </w:p>
    <w:tbl>
      <w:tblPr>
        <w:tblW w:w="9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4. Koszty ogółem wojewódzkich podmiotów leczniczych w latach 2022-2023."/>
        <w:tblDescription w:val="Tabela zawiera informacje: Podmiot leczniczy, Koszty ogółem (stan na 31.12.2022 r.), Koszty ogółem (stan na 31.12.2023 r.), Zmiana kosztów (2023 a 2022), Dynamika zmian kosztów (w procentach)"/>
      </w:tblPr>
      <w:tblGrid>
        <w:gridCol w:w="2269"/>
        <w:gridCol w:w="2154"/>
        <w:gridCol w:w="2154"/>
        <w:gridCol w:w="1559"/>
        <w:gridCol w:w="1108"/>
      </w:tblGrid>
      <w:tr w:rsidR="000F4CDE" w:rsidRPr="009D03BD" w14:paraId="204E42AE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6CF2E3F5" w14:textId="77777777" w:rsidR="00B206ED" w:rsidRPr="00070B42" w:rsidRDefault="00B206ED" w:rsidP="00B206E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B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3D202E05" w14:textId="77777777" w:rsidR="00FA0613" w:rsidRPr="00070B42" w:rsidRDefault="00F30626" w:rsidP="00F306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B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ogółem </w:t>
            </w:r>
          </w:p>
          <w:p w14:paraId="1692495D" w14:textId="53338D4E" w:rsidR="00B206ED" w:rsidRPr="00070B42" w:rsidRDefault="00521690" w:rsidP="00F3062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070B42"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B206ED"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2154" w:type="dxa"/>
            <w:shd w:val="clear" w:color="auto" w:fill="auto"/>
            <w:vAlign w:val="center"/>
            <w:hideMark/>
          </w:tcPr>
          <w:p w14:paraId="05153C92" w14:textId="77777777" w:rsidR="00FA0613" w:rsidRPr="00070B42" w:rsidRDefault="00B206ED" w:rsidP="00F30626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B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Koszty </w:t>
            </w:r>
            <w:r w:rsidR="00F30626" w:rsidRPr="00070B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ogółem </w:t>
            </w:r>
          </w:p>
          <w:p w14:paraId="1AC160F8" w14:textId="2FEC45EA" w:rsidR="00B206ED" w:rsidRPr="00070B42" w:rsidRDefault="00521690" w:rsidP="00F30626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070B42"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B206ED"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7B1B8DA" w14:textId="77777777" w:rsidR="000F4CDE" w:rsidRPr="00070B42" w:rsidRDefault="00B206ED" w:rsidP="00B206ED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70B42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Zmiana kosztów </w:t>
            </w:r>
          </w:p>
          <w:p w14:paraId="480D43DC" w14:textId="00973A20" w:rsidR="00B206ED" w:rsidRPr="00070B42" w:rsidRDefault="00521690" w:rsidP="00B206ED">
            <w:pPr>
              <w:spacing w:after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</w:t>
            </w:r>
            <w:r w:rsidR="00070B42"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a 202</w:t>
            </w:r>
            <w:r w:rsidR="00070B42"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B206ED" w:rsidRPr="00070B42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08" w:type="dxa"/>
            <w:vAlign w:val="center"/>
          </w:tcPr>
          <w:p w14:paraId="60750E3E" w14:textId="77777777" w:rsidR="00A5062F" w:rsidRPr="00070B42" w:rsidRDefault="00B206ED" w:rsidP="00B206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70B42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Dynamika zmian kosztów </w:t>
            </w:r>
          </w:p>
          <w:p w14:paraId="3FF11F65" w14:textId="54FB109C" w:rsidR="00B206ED" w:rsidRPr="00070B42" w:rsidRDefault="00B206ED" w:rsidP="00B206ED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070B42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(%)</w:t>
            </w:r>
          </w:p>
        </w:tc>
      </w:tr>
      <w:tr w:rsidR="00134A21" w:rsidRPr="009D03BD" w14:paraId="21F22929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092991B5" w14:textId="4C566E57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KSW Nr 2 Rzeszów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76F73" w14:textId="1A6C918E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575 306 102,87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B4612" w14:textId="1BAB892C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724 143 284,15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C22B0" w14:textId="62589913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148 837 181,28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BA768" w14:textId="0C411087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25,87%</w:t>
            </w:r>
          </w:p>
        </w:tc>
      </w:tr>
      <w:tr w:rsidR="00134A21" w:rsidRPr="009D03BD" w14:paraId="006D6FBE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6221BE58" w14:textId="6F905A29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WSP Krosno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01581" w14:textId="17D5FCA5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235 803 885,46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5C00C" w14:textId="3CB8A69F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273 400 858,43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53917" w14:textId="403D50AE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37 596 972,97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C120D" w14:textId="254C799C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15,94%</w:t>
            </w:r>
          </w:p>
        </w:tc>
      </w:tr>
      <w:tr w:rsidR="00134A21" w:rsidRPr="009D03BD" w14:paraId="5A7B3C26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01647889" w14:textId="5AB343E0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WS Przemyśl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0CF34" w14:textId="6E6BD9BA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285 620 933,24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BC0B" w14:textId="3FA74837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335 282 011,64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FBB66" w14:textId="46CA80EF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49 661 078,40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0AC7" w14:textId="4A8BAD8F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17,39%</w:t>
            </w:r>
          </w:p>
        </w:tc>
      </w:tr>
      <w:tr w:rsidR="00134A21" w:rsidRPr="009D03BD" w14:paraId="7D8F247E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44BF5F10" w14:textId="471990B8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WS Tarnobrzeg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EB9CE" w14:textId="19ADE95B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155 673 394,04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B2199" w14:textId="422FC6A2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174 726 184,95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E4DDE5" w14:textId="6E1D901D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19 052 790,91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88F0" w14:textId="384C179A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12,24%</w:t>
            </w:r>
          </w:p>
        </w:tc>
      </w:tr>
      <w:tr w:rsidR="00134A21" w:rsidRPr="009D03BD" w14:paraId="48E4AFA0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7777F6A6" w14:textId="5669D554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SP ZOZ Jarosław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E2854" w14:textId="2170D4CD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62 639 499,45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DF940" w14:textId="275DBEA8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77 748 361,62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0B2D" w14:textId="799DC865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15 108 862,17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9B229" w14:textId="4FD00976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24,12%</w:t>
            </w:r>
          </w:p>
        </w:tc>
      </w:tr>
      <w:tr w:rsidR="00134A21" w:rsidRPr="009D03BD" w14:paraId="486430AF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08327A13" w14:textId="77A770B0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WPSP Żurawica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E26D" w14:textId="6E8DE06E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31 552 352,65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839EC" w14:textId="7DBFEDFD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39 906 439,68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31A22" w14:textId="4B582852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8 354 087,03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4685" w14:textId="439FB804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26,48%</w:t>
            </w:r>
          </w:p>
        </w:tc>
      </w:tr>
      <w:tr w:rsidR="00134A21" w:rsidRPr="009D03BD" w14:paraId="137A06E1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46AC97A5" w14:textId="3777C300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WZS Rzeszów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26842" w14:textId="492A3B04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36 885 297,76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6AB95" w14:textId="107123B1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46 179 888,31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1336B" w14:textId="58D944F6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9 294 590,55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E63DE" w14:textId="4620BF02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25,20%</w:t>
            </w:r>
          </w:p>
        </w:tc>
      </w:tr>
      <w:tr w:rsidR="00134A21" w:rsidRPr="009D03BD" w14:paraId="49575355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4B66A74D" w14:textId="202F5262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WOMP Rzeszów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D0C57" w14:textId="6C4B718D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10 628 260,54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F3781" w14:textId="0B32557A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11 793 917,57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17CB" w14:textId="6BC0BD9E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1 165 657,03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AAEF9" w14:textId="4F08660A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10,97%</w:t>
            </w:r>
          </w:p>
        </w:tc>
      </w:tr>
      <w:tr w:rsidR="00134A21" w:rsidRPr="009D03BD" w14:paraId="3E0F5506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3624CBA8" w14:textId="6A660AA7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PCM Rzeszów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B576" w14:textId="7242A61A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23 911 068,05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F4A02" w14:textId="38234DE0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25 617 860,53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6F5E8" w14:textId="756D1A44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1 706 792,48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B48D" w14:textId="055015CC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7,14%</w:t>
            </w:r>
          </w:p>
        </w:tc>
      </w:tr>
      <w:tr w:rsidR="00134A21" w:rsidRPr="009D03BD" w14:paraId="60995626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6D3D8BD0" w14:textId="59D478AF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WSPR Rzeszów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99316" w14:textId="3384BC6B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71 298 906,08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C9BD0" w14:textId="74AE885B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78 478 357,46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27F42" w14:textId="54647DBF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7 179 451,38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8FB31" w14:textId="570F3F75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10,07%</w:t>
            </w:r>
          </w:p>
        </w:tc>
      </w:tr>
      <w:tr w:rsidR="00134A21" w:rsidRPr="009D03BD" w14:paraId="5279F2D7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758AD75A" w14:textId="1692627A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WSPR Przemyśl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7498F2" w14:textId="7B335F88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42 479 556,79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C627E" w14:textId="746DC30E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44 889 943,00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FB48CC" w14:textId="19DD01C2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2 410 386,21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AFD3" w14:textId="65C48674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5,67%</w:t>
            </w:r>
          </w:p>
        </w:tc>
      </w:tr>
      <w:tr w:rsidR="00134A21" w:rsidRPr="009D03BD" w14:paraId="1954ECE7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2B65FCFF" w14:textId="6EF67CA1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WOTU Rzeszów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782C8" w14:textId="1826AC16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2 116 624,62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50D259" w14:textId="29A28AEE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2 563 700,11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29A2C" w14:textId="5273C060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447 075,49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13B84" w14:textId="74653E4F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21,12%</w:t>
            </w:r>
          </w:p>
        </w:tc>
      </w:tr>
      <w:tr w:rsidR="00134A21" w:rsidRPr="009D03BD" w14:paraId="746A1215" w14:textId="77777777" w:rsidTr="005C69D9">
        <w:trPr>
          <w:trHeight w:val="20"/>
        </w:trPr>
        <w:tc>
          <w:tcPr>
            <w:tcW w:w="2269" w:type="dxa"/>
            <w:shd w:val="clear" w:color="auto" w:fill="auto"/>
            <w:noWrap/>
            <w:hideMark/>
          </w:tcPr>
          <w:p w14:paraId="6A112B5D" w14:textId="04C757EB" w:rsidR="00134A21" w:rsidRPr="00134A21" w:rsidRDefault="00134A21" w:rsidP="00134A21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WOTUiA Stalowa Wola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B979A2" w14:textId="6A46C793" w:rsidR="00134A21" w:rsidRPr="00134A21" w:rsidRDefault="00134A21" w:rsidP="00134A21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5 252 209,11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C1670" w14:textId="53486E4B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6 367 816,45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5B7AE" w14:textId="765D0A81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1 115 607,34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464C1" w14:textId="573A202A" w:rsidR="00134A21" w:rsidRPr="00134A21" w:rsidRDefault="00134A21" w:rsidP="00134A21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sz w:val="20"/>
                <w:szCs w:val="20"/>
              </w:rPr>
              <w:t>21,24%</w:t>
            </w:r>
          </w:p>
        </w:tc>
      </w:tr>
      <w:tr w:rsidR="00134A21" w:rsidRPr="009D03BD" w14:paraId="362AB819" w14:textId="77777777" w:rsidTr="00672C70">
        <w:trPr>
          <w:trHeight w:val="397"/>
        </w:trPr>
        <w:tc>
          <w:tcPr>
            <w:tcW w:w="2269" w:type="dxa"/>
            <w:shd w:val="clear" w:color="auto" w:fill="auto"/>
            <w:noWrap/>
            <w:vAlign w:val="center"/>
            <w:hideMark/>
          </w:tcPr>
          <w:p w14:paraId="2444A4E5" w14:textId="0FD73579" w:rsidR="00134A21" w:rsidRPr="00134A21" w:rsidRDefault="00134A21" w:rsidP="00672C7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highlight w:val="yellow"/>
                <w:lang w:eastAsia="pl-PL"/>
              </w:rPr>
            </w:pPr>
            <w:r w:rsidRPr="00134A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2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6A301" w14:textId="64CC4038" w:rsidR="00134A21" w:rsidRPr="00134A21" w:rsidRDefault="00134A21" w:rsidP="00672C7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1 539 168 090,66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57F1" w14:textId="4D3DED77" w:rsidR="00134A21" w:rsidRPr="00134A21" w:rsidRDefault="00134A21" w:rsidP="00672C7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1 841 098 623,90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F0C" w14:textId="323A7E0F" w:rsidR="00134A21" w:rsidRPr="00134A21" w:rsidRDefault="00134A21" w:rsidP="00672C7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301 930 533,24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80AFE" w14:textId="4D28F7F8" w:rsidR="00134A21" w:rsidRPr="00134A21" w:rsidRDefault="00134A21" w:rsidP="00672C7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  <w:highlight w:val="yellow"/>
              </w:rPr>
            </w:pPr>
            <w:r w:rsidRPr="00134A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19,62%</w:t>
            </w:r>
          </w:p>
        </w:tc>
      </w:tr>
    </w:tbl>
    <w:p w14:paraId="7DD0AEED" w14:textId="77777777" w:rsidR="005D7D0A" w:rsidRPr="00CA769F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CA769F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1FE55A72" w14:textId="77777777" w:rsidR="00B22A72" w:rsidRPr="009D03BD" w:rsidRDefault="00B22A72" w:rsidP="00B109D6">
      <w:pPr>
        <w:spacing w:after="0"/>
        <w:rPr>
          <w:rFonts w:asciiTheme="minorHAnsi" w:hAnsiTheme="minorHAnsi" w:cstheme="minorHAnsi"/>
          <w:highlight w:val="yellow"/>
        </w:rPr>
      </w:pPr>
    </w:p>
    <w:p w14:paraId="3CCB8634" w14:textId="77777777" w:rsidR="008B3CF9" w:rsidRPr="00CA769F" w:rsidRDefault="008B3CF9" w:rsidP="00B109D6">
      <w:pPr>
        <w:spacing w:after="0"/>
        <w:rPr>
          <w:rFonts w:asciiTheme="minorHAnsi" w:hAnsiTheme="minorHAnsi" w:cstheme="minorHAnsi"/>
        </w:rPr>
      </w:pPr>
    </w:p>
    <w:p w14:paraId="767C8BEF" w14:textId="19670069" w:rsidR="008C3A40" w:rsidRPr="00CA769F" w:rsidRDefault="008C3A40" w:rsidP="008C3A4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CA769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CA769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CA769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CA769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5</w:t>
      </w:r>
      <w:r w:rsidR="00204628" w:rsidRPr="00CA769F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CA769F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CA769F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Przychody ogółem wojewódzkich podmiotów leczniczych w latach 202</w:t>
      </w:r>
      <w:r w:rsidR="00CA769F" w:rsidRPr="00CA769F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2</w:t>
      </w:r>
      <w:r w:rsidRPr="00CA769F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-202</w:t>
      </w:r>
      <w:r w:rsidR="00CA769F" w:rsidRPr="00CA769F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3</w:t>
      </w:r>
      <w:r w:rsidRPr="00CA769F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.</w:t>
      </w:r>
    </w:p>
    <w:tbl>
      <w:tblPr>
        <w:tblW w:w="5036" w:type="pct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5 Przychody ogółem wojewódzkich podmiotów leczniczych w latach 2022-2023."/>
        <w:tblDescription w:val="tabela zawiera informacje: Podmiot leczniczy,Przychody stan na 31.12.2022 r., Przychody stan na 31.12.2023 r., Zmiana przychodów 2023 a 2022, Dynamika zmian przychodów w procentach"/>
      </w:tblPr>
      <w:tblGrid>
        <w:gridCol w:w="2258"/>
        <w:gridCol w:w="2155"/>
        <w:gridCol w:w="2155"/>
        <w:gridCol w:w="1546"/>
        <w:gridCol w:w="1157"/>
      </w:tblGrid>
      <w:tr w:rsidR="005C69D9" w:rsidRPr="00CA769F" w14:paraId="6118EDB3" w14:textId="77777777" w:rsidTr="005C69D9">
        <w:trPr>
          <w:trHeight w:val="750"/>
        </w:trPr>
        <w:tc>
          <w:tcPr>
            <w:tcW w:w="1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D360" w14:textId="77777777" w:rsidR="003B0FDE" w:rsidRPr="00CA769F" w:rsidRDefault="003B0FDE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10AB" w14:textId="0B59A8E5" w:rsidR="003B0FDE" w:rsidRPr="00CA769F" w:rsidRDefault="003B0FDE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Przychody </w:t>
            </w:r>
            <w:r w:rsidR="00FA0613"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  <w:r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CA769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62065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CA769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467A2" w14:textId="670C3BA1" w:rsidR="003B0FDE" w:rsidRPr="00CA769F" w:rsidRDefault="003B0FDE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Przychody</w:t>
            </w:r>
            <w:r w:rsidR="00FA0613"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ogółem</w:t>
            </w:r>
            <w:r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CA769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62065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CA769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3D07" w14:textId="77777777" w:rsidR="002B67D5" w:rsidRPr="00CA769F" w:rsidRDefault="003B0FDE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Zmiana przychodów </w:t>
            </w:r>
          </w:p>
          <w:p w14:paraId="334880D4" w14:textId="200E4C54" w:rsidR="003B0FDE" w:rsidRPr="00CA769F" w:rsidRDefault="00521690" w:rsidP="00042D2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</w:t>
            </w:r>
            <w:r w:rsidR="0062065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CA769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a 202</w:t>
            </w:r>
            <w:r w:rsidR="0062065B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3B0FDE" w:rsidRPr="00CA769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309B9" w14:textId="77777777" w:rsidR="003B0FDE" w:rsidRPr="00CA769F" w:rsidRDefault="003B0FDE" w:rsidP="00DF561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Dynamika zmian przychodów</w:t>
            </w:r>
            <w:r w:rsidR="00DF5619"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F30626" w:rsidRPr="00CA769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CA769F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(w %)</w:t>
            </w:r>
          </w:p>
        </w:tc>
      </w:tr>
      <w:tr w:rsidR="005C69D9" w:rsidRPr="00CA769F" w14:paraId="6235C41F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7D12B" w14:textId="4DEC4953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KSW Nr 2 Rzeszów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02F8C" w14:textId="4B5ADB2E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583 997 346,12</w:t>
            </w:r>
          </w:p>
        </w:tc>
        <w:tc>
          <w:tcPr>
            <w:tcW w:w="1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CC7EE" w14:textId="00A9C15E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761 945 768,40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C688" w14:textId="4472E5B2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177 948 422,28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133DC7" w14:textId="43A22642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30,47%</w:t>
            </w:r>
          </w:p>
        </w:tc>
      </w:tr>
      <w:tr w:rsidR="005C69D9" w:rsidRPr="00CA769F" w14:paraId="2F841595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1C861" w14:textId="7B0337CE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WSP Krosno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11964" w14:textId="78F4DD80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229 497 839,59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7D73D" w14:textId="5E566EBA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257 796 027,08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04B1" w14:textId="78813487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28 298 187,49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5E9B9" w14:textId="308173EA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12,33%</w:t>
            </w:r>
          </w:p>
        </w:tc>
      </w:tr>
      <w:tr w:rsidR="005C69D9" w:rsidRPr="00CA769F" w14:paraId="45854A92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CB185" w14:textId="0C5A4954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WS Przemyśl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2498" w14:textId="04FE0397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287 957 526,49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F96A3" w14:textId="6414844F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341 497 364,24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2C6A0" w14:textId="57ED9893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53 539 837,75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AD90A" w14:textId="7DB5D629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18,59%</w:t>
            </w:r>
          </w:p>
        </w:tc>
      </w:tr>
      <w:tr w:rsidR="005C69D9" w:rsidRPr="00CA769F" w14:paraId="18A5E1CD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A9949" w14:textId="674E5058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WS Tarnobrzeg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73B9E" w14:textId="71A5E7C9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141 039 134,56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6FBC8" w14:textId="7040DD36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164 144 688,95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60A44" w14:textId="7C75C8AF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23 105 554,39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487AD" w14:textId="30FC75DD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16,38%</w:t>
            </w:r>
          </w:p>
        </w:tc>
      </w:tr>
      <w:tr w:rsidR="005C69D9" w:rsidRPr="00CA769F" w14:paraId="6E0D6974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422F5" w14:textId="713631E8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 ZOZ Jarosław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DCE4C" w14:textId="055F89D6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65 391 184,91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036B" w14:textId="18CC605A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81 169 843,92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BFD021" w14:textId="53F403CD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15 778 659,01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A03492" w14:textId="3E74BE99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24,13%</w:t>
            </w:r>
          </w:p>
        </w:tc>
      </w:tr>
      <w:tr w:rsidR="005C69D9" w:rsidRPr="00CA769F" w14:paraId="0CFBE555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36B9F" w14:textId="42A6B921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WPSP Żurawica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47C92" w14:textId="093B7FEE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29 436 613,48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9D4A" w14:textId="1783036E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38 042 940,97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E1F2F" w14:textId="388368CE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8 606 327,49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F3F4B" w14:textId="71058D43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29,24%</w:t>
            </w:r>
          </w:p>
        </w:tc>
      </w:tr>
      <w:tr w:rsidR="005C69D9" w:rsidRPr="00CA769F" w14:paraId="739A699B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9B37D" w14:textId="630A2FF0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WZS Rzeszów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7926F" w14:textId="151F9F98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39 336 947,29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985DE" w14:textId="4D5A44EF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47 461 275,10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14B72" w14:textId="5384D603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8 124 327,81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3E4A" w14:textId="38D34FE8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20,65%</w:t>
            </w:r>
          </w:p>
        </w:tc>
      </w:tr>
      <w:tr w:rsidR="005C69D9" w:rsidRPr="00CA769F" w14:paraId="507A406E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25F84" w14:textId="1E0AD88E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WOMP Rzeszów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6F655" w14:textId="44B89B0D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10 851 509,36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5219B" w14:textId="039BD27A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12 012 004,76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6DB34" w14:textId="191996ED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1 160 495,40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40D98" w14:textId="28A5430E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10,69%</w:t>
            </w:r>
          </w:p>
        </w:tc>
      </w:tr>
      <w:tr w:rsidR="005C69D9" w:rsidRPr="00CA769F" w14:paraId="3A7F3593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6AF59" w14:textId="0FFF6391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PCM Rzeszów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1F60D" w14:textId="0D338772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24 156 613,38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908FF" w14:textId="0118ABC8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26 209 703,10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AE1ED" w14:textId="75EE7213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2 053 089,72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F8EB" w14:textId="794F1154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8,50%</w:t>
            </w:r>
          </w:p>
        </w:tc>
      </w:tr>
      <w:tr w:rsidR="005C69D9" w:rsidRPr="00CA769F" w14:paraId="7927C800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718F3" w14:textId="0C706625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WSPR Rzeszów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063C" w14:textId="7FE0418C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71 545 558,87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CEB1C" w14:textId="783AC9A9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79 717 059,79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247DAC" w14:textId="6CD1CD2F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8 171 500,92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5E38F" w14:textId="324E2978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11,42%</w:t>
            </w:r>
          </w:p>
        </w:tc>
      </w:tr>
      <w:tr w:rsidR="005C69D9" w:rsidRPr="00CA769F" w14:paraId="0C43F458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0AD27" w14:textId="4FCF1152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WSPR Przemyśl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F5C1B" w14:textId="667783B6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43 884 984,47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D2E5C" w14:textId="5B83D44F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46 479 858,00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83BE3" w14:textId="7B77B32D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2 594 873,53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63B4" w14:textId="3A5A1E5A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5,91%</w:t>
            </w:r>
          </w:p>
        </w:tc>
      </w:tr>
      <w:tr w:rsidR="005C69D9" w:rsidRPr="00CA769F" w14:paraId="035CD1B9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18280" w14:textId="17D9BFE2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WOTU Rzeszów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83AA0" w14:textId="63ACEAFE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2 204 541,29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DC29A" w14:textId="10C2D8D1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2 799 072,35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F4371" w14:textId="2EEF5736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594 531,06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B3A6A" w14:textId="7FA6E436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26,97%</w:t>
            </w:r>
          </w:p>
        </w:tc>
      </w:tr>
      <w:tr w:rsidR="005C69D9" w:rsidRPr="00CA769F" w14:paraId="2A6E45E4" w14:textId="77777777" w:rsidTr="005C69D9">
        <w:trPr>
          <w:trHeight w:val="30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65830" w14:textId="20EFD9C7" w:rsidR="00CA769F" w:rsidRPr="00CA769F" w:rsidRDefault="00CA769F" w:rsidP="00CA769F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WOTUiA Stalowa Wola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1E2D6" w14:textId="22B84885" w:rsidR="00CA769F" w:rsidRPr="00CA769F" w:rsidRDefault="00CA769F" w:rsidP="00CA769F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5 474 131,64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7E477" w14:textId="5A6D2CBF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6 493 634,49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046FF7" w14:textId="10A8C8B7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1 019 502,85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81C31" w14:textId="58A2501C" w:rsidR="00CA769F" w:rsidRPr="00CA769F" w:rsidRDefault="00CA769F" w:rsidP="00CA769F">
            <w:pPr>
              <w:spacing w:after="0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sz w:val="20"/>
                <w:szCs w:val="20"/>
              </w:rPr>
              <w:t>18,62%</w:t>
            </w:r>
          </w:p>
        </w:tc>
      </w:tr>
      <w:tr w:rsidR="005C69D9" w:rsidRPr="00CA769F" w14:paraId="6A317C4C" w14:textId="77777777" w:rsidTr="00672C70">
        <w:trPr>
          <w:trHeight w:val="340"/>
        </w:trPr>
        <w:tc>
          <w:tcPr>
            <w:tcW w:w="12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F73F" w14:textId="1719B326" w:rsidR="00CA769F" w:rsidRPr="00CA769F" w:rsidRDefault="00CA769F" w:rsidP="00672C7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A76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074D" w14:textId="5754DE17" w:rsidR="00CA769F" w:rsidRPr="00CA769F" w:rsidRDefault="00CA769F" w:rsidP="00672C7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1 534 773 931,45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9DF87" w14:textId="3A53F15C" w:rsidR="00CA769F" w:rsidRPr="00CA769F" w:rsidRDefault="00CA769F" w:rsidP="00672C7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1 865 769 241,15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0D9E" w14:textId="7827F5E9" w:rsidR="00CA769F" w:rsidRPr="00CA769F" w:rsidRDefault="00CA769F" w:rsidP="00672C7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330 995 309,70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43C7D" w14:textId="3961034A" w:rsidR="00CA769F" w:rsidRPr="00CA769F" w:rsidRDefault="00CA769F" w:rsidP="00672C70">
            <w:pPr>
              <w:spacing w:after="0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A769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21,57%</w:t>
            </w:r>
          </w:p>
        </w:tc>
      </w:tr>
    </w:tbl>
    <w:p w14:paraId="44109662" w14:textId="77777777" w:rsidR="005D7D0A" w:rsidRPr="00CA769F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CA769F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104DB35E" w14:textId="77777777" w:rsidR="008B3CF9" w:rsidRPr="009D03BD" w:rsidRDefault="008B3CF9" w:rsidP="005D7D0A">
      <w:pPr>
        <w:rPr>
          <w:highlight w:val="yellow"/>
        </w:rPr>
      </w:pPr>
    </w:p>
    <w:p w14:paraId="077A573D" w14:textId="0FE6DE6A" w:rsidR="005D7D0A" w:rsidRPr="009D03BD" w:rsidRDefault="005D7D0A" w:rsidP="005D7D0A">
      <w:pPr>
        <w:rPr>
          <w:highlight w:val="yellow"/>
        </w:rPr>
        <w:sectPr w:rsidR="005D7D0A" w:rsidRPr="009D03BD" w:rsidSect="003F4DAE"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14:paraId="7B717AA6" w14:textId="77777777" w:rsidR="003B0FDE" w:rsidRPr="006F4624" w:rsidRDefault="003B0FDE" w:rsidP="000168E8">
      <w:pPr>
        <w:pStyle w:val="Nagwek3"/>
        <w:spacing w:before="0" w:after="120"/>
        <w:ind w:left="0"/>
        <w:rPr>
          <w:rFonts w:asciiTheme="minorHAnsi" w:hAnsiTheme="minorHAnsi" w:cstheme="minorHAnsi"/>
          <w:szCs w:val="24"/>
        </w:rPr>
      </w:pPr>
      <w:r w:rsidRPr="006F4624">
        <w:rPr>
          <w:rFonts w:asciiTheme="minorHAnsi" w:hAnsiTheme="minorHAnsi" w:cstheme="minorHAnsi"/>
          <w:szCs w:val="24"/>
        </w:rPr>
        <w:lastRenderedPageBreak/>
        <w:t>Zobowiązania ogółem</w:t>
      </w:r>
    </w:p>
    <w:p w14:paraId="4B7B3B0C" w14:textId="6A9FFC09" w:rsidR="00280476" w:rsidRPr="00F27CD1" w:rsidRDefault="003B0FDE" w:rsidP="00280476">
      <w:pPr>
        <w:jc w:val="both"/>
        <w:rPr>
          <w:rFonts w:asciiTheme="minorHAnsi" w:hAnsiTheme="minorHAnsi" w:cstheme="minorHAnsi"/>
          <w:sz w:val="24"/>
          <w:szCs w:val="24"/>
        </w:rPr>
      </w:pPr>
      <w:r w:rsidRPr="006F4624">
        <w:rPr>
          <w:rFonts w:asciiTheme="minorHAnsi" w:hAnsiTheme="minorHAnsi" w:cstheme="minorHAnsi"/>
          <w:sz w:val="24"/>
          <w:szCs w:val="24"/>
        </w:rPr>
        <w:t>Z</w:t>
      </w:r>
      <w:r w:rsidR="00DF5619" w:rsidRPr="006F4624">
        <w:rPr>
          <w:rFonts w:asciiTheme="minorHAnsi" w:hAnsiTheme="minorHAnsi" w:cstheme="minorHAnsi"/>
          <w:sz w:val="24"/>
          <w:szCs w:val="24"/>
        </w:rPr>
        <w:t xml:space="preserve">obowiązania ogółem </w:t>
      </w:r>
      <w:r w:rsidR="00280476" w:rsidRPr="006F4624">
        <w:rPr>
          <w:rFonts w:asciiTheme="minorHAnsi" w:hAnsiTheme="minorHAnsi" w:cstheme="minorHAnsi"/>
          <w:sz w:val="24"/>
          <w:szCs w:val="24"/>
        </w:rPr>
        <w:t xml:space="preserve">podmiotów leczniczych </w:t>
      </w:r>
      <w:r w:rsidR="00DF5619" w:rsidRPr="006F4624">
        <w:rPr>
          <w:rFonts w:asciiTheme="minorHAnsi" w:hAnsiTheme="minorHAnsi" w:cstheme="minorHAnsi"/>
          <w:sz w:val="24"/>
          <w:szCs w:val="24"/>
        </w:rPr>
        <w:t xml:space="preserve">(obejmujące zobowiązania długo- i krótkoterminowe) </w:t>
      </w:r>
      <w:r w:rsidRPr="006F4624">
        <w:rPr>
          <w:rFonts w:asciiTheme="minorHAnsi" w:hAnsiTheme="minorHAnsi" w:cstheme="minorHAnsi"/>
          <w:sz w:val="24"/>
          <w:szCs w:val="24"/>
        </w:rPr>
        <w:t>według danych wstępnych na koniec 202</w:t>
      </w:r>
      <w:r w:rsidR="006F4624" w:rsidRPr="006F4624">
        <w:rPr>
          <w:rFonts w:asciiTheme="minorHAnsi" w:hAnsiTheme="minorHAnsi" w:cstheme="minorHAnsi"/>
          <w:sz w:val="24"/>
          <w:szCs w:val="24"/>
        </w:rPr>
        <w:t>3</w:t>
      </w:r>
      <w:r w:rsidRPr="006F4624">
        <w:rPr>
          <w:rFonts w:asciiTheme="minorHAnsi" w:hAnsiTheme="minorHAnsi" w:cstheme="minorHAnsi"/>
          <w:sz w:val="24"/>
          <w:szCs w:val="24"/>
        </w:rPr>
        <w:t xml:space="preserve"> r. wyniosły </w:t>
      </w:r>
      <w:r w:rsidR="002F39CF">
        <w:rPr>
          <w:rFonts w:asciiTheme="minorHAnsi" w:hAnsiTheme="minorHAnsi" w:cstheme="minorHAnsi"/>
          <w:sz w:val="24"/>
          <w:szCs w:val="24"/>
        </w:rPr>
        <w:t>536,84</w:t>
      </w:r>
      <w:r w:rsidRPr="006F4624">
        <w:rPr>
          <w:rFonts w:asciiTheme="minorHAnsi" w:hAnsiTheme="minorHAnsi" w:cstheme="minorHAnsi"/>
          <w:sz w:val="24"/>
          <w:szCs w:val="24"/>
        </w:rPr>
        <w:t xml:space="preserve"> mln zł </w:t>
      </w:r>
      <w:r w:rsidRPr="00F27CD1">
        <w:rPr>
          <w:rFonts w:asciiTheme="minorHAnsi" w:hAnsiTheme="minorHAnsi" w:cstheme="minorHAnsi"/>
          <w:sz w:val="24"/>
          <w:szCs w:val="24"/>
        </w:rPr>
        <w:t>i</w:t>
      </w:r>
      <w:r w:rsidR="008C3A40" w:rsidRPr="00F27CD1">
        <w:rPr>
          <w:rFonts w:asciiTheme="minorHAnsi" w:hAnsiTheme="minorHAnsi" w:cstheme="minorHAnsi"/>
          <w:sz w:val="24"/>
          <w:szCs w:val="24"/>
        </w:rPr>
        <w:t> w </w:t>
      </w:r>
      <w:r w:rsidRPr="00F27CD1">
        <w:rPr>
          <w:rFonts w:asciiTheme="minorHAnsi" w:hAnsiTheme="minorHAnsi" w:cstheme="minorHAnsi"/>
          <w:sz w:val="24"/>
          <w:szCs w:val="24"/>
        </w:rPr>
        <w:t xml:space="preserve">porównaniu do </w:t>
      </w:r>
      <w:r w:rsidRPr="006143E9">
        <w:rPr>
          <w:rFonts w:asciiTheme="minorHAnsi" w:hAnsiTheme="minorHAnsi" w:cstheme="minorHAnsi"/>
          <w:sz w:val="24"/>
          <w:szCs w:val="24"/>
        </w:rPr>
        <w:t>202</w:t>
      </w:r>
      <w:r w:rsidR="006F4624" w:rsidRPr="006143E9">
        <w:rPr>
          <w:rFonts w:asciiTheme="minorHAnsi" w:hAnsiTheme="minorHAnsi" w:cstheme="minorHAnsi"/>
          <w:sz w:val="24"/>
          <w:szCs w:val="24"/>
        </w:rPr>
        <w:t>2</w:t>
      </w:r>
      <w:r w:rsidR="00280476" w:rsidRPr="006143E9">
        <w:rPr>
          <w:rFonts w:asciiTheme="minorHAnsi" w:hAnsiTheme="minorHAnsi" w:cstheme="minorHAnsi"/>
          <w:sz w:val="24"/>
          <w:szCs w:val="24"/>
        </w:rPr>
        <w:t xml:space="preserve"> roku</w:t>
      </w:r>
      <w:r w:rsidR="002F39CF" w:rsidRPr="006143E9">
        <w:rPr>
          <w:rFonts w:asciiTheme="minorHAnsi" w:hAnsiTheme="minorHAnsi" w:cstheme="minorHAnsi"/>
          <w:sz w:val="24"/>
          <w:szCs w:val="24"/>
        </w:rPr>
        <w:t xml:space="preserve"> zmniejszyły</w:t>
      </w:r>
      <w:r w:rsidRPr="006143E9">
        <w:rPr>
          <w:rFonts w:asciiTheme="minorHAnsi" w:hAnsiTheme="minorHAnsi" w:cstheme="minorHAnsi"/>
          <w:sz w:val="24"/>
          <w:szCs w:val="24"/>
        </w:rPr>
        <w:t xml:space="preserve"> się</w:t>
      </w:r>
      <w:r w:rsidR="00DF5619" w:rsidRPr="006143E9">
        <w:rPr>
          <w:rFonts w:asciiTheme="minorHAnsi" w:hAnsiTheme="minorHAnsi" w:cstheme="minorHAnsi"/>
          <w:sz w:val="24"/>
          <w:szCs w:val="24"/>
        </w:rPr>
        <w:t xml:space="preserve"> o</w:t>
      </w:r>
      <w:r w:rsidR="002F39CF" w:rsidRPr="006143E9">
        <w:rPr>
          <w:rFonts w:asciiTheme="minorHAnsi" w:hAnsiTheme="minorHAnsi" w:cstheme="minorHAnsi"/>
          <w:sz w:val="24"/>
          <w:szCs w:val="24"/>
        </w:rPr>
        <w:t xml:space="preserve"> 0,89</w:t>
      </w:r>
      <w:r w:rsidR="00DF5619" w:rsidRPr="006143E9">
        <w:rPr>
          <w:rFonts w:asciiTheme="minorHAnsi" w:hAnsiTheme="minorHAnsi" w:cstheme="minorHAnsi"/>
          <w:sz w:val="24"/>
          <w:szCs w:val="24"/>
        </w:rPr>
        <w:t> mln </w:t>
      </w:r>
      <w:r w:rsidRPr="006143E9">
        <w:rPr>
          <w:rFonts w:asciiTheme="minorHAnsi" w:hAnsiTheme="minorHAnsi" w:cstheme="minorHAnsi"/>
          <w:sz w:val="24"/>
          <w:szCs w:val="24"/>
        </w:rPr>
        <w:t>zł</w:t>
      </w:r>
      <w:r w:rsidR="00280476" w:rsidRPr="006143E9">
        <w:rPr>
          <w:rFonts w:asciiTheme="minorHAnsi" w:hAnsiTheme="minorHAnsi" w:cstheme="minorHAnsi"/>
          <w:sz w:val="24"/>
          <w:szCs w:val="24"/>
        </w:rPr>
        <w:t>,</w:t>
      </w:r>
      <w:r w:rsidRPr="006143E9">
        <w:rPr>
          <w:rFonts w:asciiTheme="minorHAnsi" w:hAnsiTheme="minorHAnsi" w:cstheme="minorHAnsi"/>
          <w:sz w:val="24"/>
          <w:szCs w:val="24"/>
        </w:rPr>
        <w:t xml:space="preserve"> tj. o </w:t>
      </w:r>
      <w:r w:rsidR="002F39CF" w:rsidRPr="006143E9">
        <w:rPr>
          <w:rFonts w:asciiTheme="minorHAnsi" w:hAnsiTheme="minorHAnsi" w:cstheme="minorHAnsi"/>
          <w:sz w:val="24"/>
          <w:szCs w:val="24"/>
        </w:rPr>
        <w:t>0,2</w:t>
      </w:r>
      <w:r w:rsidRPr="006143E9">
        <w:rPr>
          <w:rFonts w:asciiTheme="minorHAnsi" w:hAnsiTheme="minorHAnsi" w:cstheme="minorHAnsi"/>
          <w:sz w:val="24"/>
          <w:szCs w:val="24"/>
        </w:rPr>
        <w:t>%.</w:t>
      </w:r>
      <w:r w:rsidRPr="00F27C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195283B" w14:textId="6A867D7B" w:rsidR="00280476" w:rsidRPr="00F27CD1" w:rsidRDefault="00280476" w:rsidP="00280476">
      <w:pPr>
        <w:jc w:val="both"/>
        <w:rPr>
          <w:rFonts w:asciiTheme="minorHAnsi" w:hAnsiTheme="minorHAnsi" w:cstheme="minorHAnsi"/>
          <w:sz w:val="24"/>
          <w:szCs w:val="24"/>
        </w:rPr>
      </w:pPr>
      <w:r w:rsidRPr="00F27CD1">
        <w:rPr>
          <w:rFonts w:asciiTheme="minorHAnsi" w:hAnsiTheme="minorHAnsi" w:cstheme="minorHAnsi"/>
          <w:sz w:val="24"/>
          <w:szCs w:val="24"/>
        </w:rPr>
        <w:t>N</w:t>
      </w:r>
      <w:r w:rsidR="003B0FDE" w:rsidRPr="00F27CD1">
        <w:rPr>
          <w:rFonts w:asciiTheme="minorHAnsi" w:hAnsiTheme="minorHAnsi" w:cstheme="minorHAnsi"/>
          <w:sz w:val="24"/>
          <w:szCs w:val="24"/>
        </w:rPr>
        <w:t xml:space="preserve">ajwiększe zobowiązania na </w:t>
      </w:r>
      <w:r w:rsidR="00DF5619" w:rsidRPr="00F27CD1">
        <w:rPr>
          <w:rFonts w:asciiTheme="minorHAnsi" w:hAnsiTheme="minorHAnsi" w:cstheme="minorHAnsi"/>
          <w:sz w:val="24"/>
          <w:szCs w:val="24"/>
        </w:rPr>
        <w:t>koniec 202</w:t>
      </w:r>
      <w:r w:rsidR="00F27CD1" w:rsidRPr="00F27CD1">
        <w:rPr>
          <w:rFonts w:asciiTheme="minorHAnsi" w:hAnsiTheme="minorHAnsi" w:cstheme="minorHAnsi"/>
          <w:sz w:val="24"/>
          <w:szCs w:val="24"/>
        </w:rPr>
        <w:t>3</w:t>
      </w:r>
      <w:r w:rsidR="00DF5619" w:rsidRPr="00F27CD1">
        <w:rPr>
          <w:rFonts w:asciiTheme="minorHAnsi" w:hAnsiTheme="minorHAnsi" w:cstheme="minorHAnsi"/>
          <w:sz w:val="24"/>
          <w:szCs w:val="24"/>
        </w:rPr>
        <w:t xml:space="preserve"> r. wykazał</w:t>
      </w:r>
      <w:r w:rsidRPr="00F27CD1">
        <w:rPr>
          <w:rFonts w:asciiTheme="minorHAnsi" w:hAnsiTheme="minorHAnsi" w:cstheme="minorHAnsi"/>
          <w:sz w:val="24"/>
          <w:szCs w:val="24"/>
        </w:rPr>
        <w:t>y szpitale objęte kredytami restrukturyzacyjnymi, tj.:</w:t>
      </w:r>
      <w:r w:rsidR="00DF5619" w:rsidRPr="00F27C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E72E926" w14:textId="50670A6A" w:rsidR="00280476" w:rsidRPr="00F27CD1" w:rsidRDefault="00280476" w:rsidP="00844297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27CD1">
        <w:rPr>
          <w:rFonts w:asciiTheme="minorHAnsi" w:hAnsiTheme="minorHAnsi" w:cstheme="minorHAnsi"/>
          <w:sz w:val="24"/>
          <w:szCs w:val="24"/>
        </w:rPr>
        <w:t>Kliniczny Szpital Wojewódzki Nr 2 im. św. Jadwigi Królowej w Rzeszowie</w:t>
      </w:r>
      <w:r w:rsidR="00304E0F" w:rsidRPr="00F27CD1">
        <w:rPr>
          <w:rFonts w:asciiTheme="minorHAnsi" w:hAnsiTheme="minorHAnsi" w:cstheme="minorHAnsi"/>
          <w:sz w:val="24"/>
          <w:szCs w:val="24"/>
        </w:rPr>
        <w:t>,</w:t>
      </w:r>
      <w:r w:rsidRPr="00F27C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28B077C" w14:textId="2FF6213F" w:rsidR="006F4624" w:rsidRPr="00F27CD1" w:rsidRDefault="006F4624" w:rsidP="00844297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27CD1">
        <w:rPr>
          <w:rFonts w:asciiTheme="minorHAnsi" w:hAnsiTheme="minorHAnsi" w:cstheme="minorHAnsi"/>
          <w:sz w:val="24"/>
          <w:szCs w:val="24"/>
        </w:rPr>
        <w:t>Wojewódzki Szpital im. św. Ojca Pio w Przemyślu,</w:t>
      </w:r>
    </w:p>
    <w:p w14:paraId="0967111A" w14:textId="00EEC1BC" w:rsidR="00280476" w:rsidRPr="00F27CD1" w:rsidRDefault="00280476" w:rsidP="00844297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27CD1">
        <w:rPr>
          <w:rFonts w:asciiTheme="minorHAnsi" w:hAnsiTheme="minorHAnsi" w:cstheme="minorHAnsi"/>
          <w:sz w:val="24"/>
          <w:szCs w:val="24"/>
        </w:rPr>
        <w:t>Wojewódzki Szpital Podkarpacki im. Jana Pawła II w Krośnie</w:t>
      </w:r>
      <w:r w:rsidR="00304E0F" w:rsidRPr="00F27CD1">
        <w:rPr>
          <w:rFonts w:asciiTheme="minorHAnsi" w:hAnsiTheme="minorHAnsi" w:cstheme="minorHAnsi"/>
          <w:sz w:val="24"/>
          <w:szCs w:val="24"/>
        </w:rPr>
        <w:t>,</w:t>
      </w:r>
      <w:r w:rsidRPr="00F27CD1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1126B75" w14:textId="77777777" w:rsidR="00280476" w:rsidRPr="00F27CD1" w:rsidRDefault="00280476" w:rsidP="00844297">
      <w:pPr>
        <w:pStyle w:val="Akapitzlist"/>
        <w:numPr>
          <w:ilvl w:val="0"/>
          <w:numId w:val="3"/>
        </w:numPr>
        <w:spacing w:after="160" w:line="259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F27CD1">
        <w:rPr>
          <w:rFonts w:asciiTheme="minorHAnsi" w:hAnsiTheme="minorHAnsi" w:cstheme="minorHAnsi"/>
          <w:sz w:val="24"/>
          <w:szCs w:val="24"/>
        </w:rPr>
        <w:t xml:space="preserve">Wojewódzki Szpital </w:t>
      </w:r>
      <w:r w:rsidRPr="00F27CD1">
        <w:rPr>
          <w:rFonts w:asciiTheme="minorHAnsi" w:eastAsia="Times New Roman" w:hAnsiTheme="minorHAnsi" w:cstheme="minorHAnsi"/>
          <w:bCs/>
          <w:color w:val="000000"/>
          <w:sz w:val="24"/>
          <w:szCs w:val="24"/>
          <w:lang w:eastAsia="pl-PL"/>
        </w:rPr>
        <w:t>im. Zofii z Zamoyskich Tarnowskiej w Tarnobrzegu.</w:t>
      </w:r>
    </w:p>
    <w:p w14:paraId="0AB13176" w14:textId="6F2DFDCC" w:rsidR="00280476" w:rsidRPr="00F27CD1" w:rsidRDefault="00280476" w:rsidP="00280476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7CD1">
        <w:rPr>
          <w:rFonts w:asciiTheme="minorHAnsi" w:hAnsiTheme="minorHAnsi" w:cstheme="minorHAnsi"/>
          <w:sz w:val="24"/>
          <w:szCs w:val="24"/>
        </w:rPr>
        <w:t>W szpitalach w Krośnie i Tarnobrzegu zobowiązania wzrosły w stosunku do roku poprzedniego</w:t>
      </w:r>
      <w:r w:rsidR="008C3A40" w:rsidRPr="00F27CD1">
        <w:rPr>
          <w:rFonts w:asciiTheme="minorHAnsi" w:hAnsiTheme="minorHAnsi" w:cstheme="minorHAnsi"/>
          <w:sz w:val="24"/>
          <w:szCs w:val="24"/>
        </w:rPr>
        <w:t>,</w:t>
      </w:r>
      <w:r w:rsidRPr="00F27CD1">
        <w:rPr>
          <w:rFonts w:asciiTheme="minorHAnsi" w:hAnsiTheme="minorHAnsi" w:cstheme="minorHAnsi"/>
          <w:sz w:val="24"/>
          <w:szCs w:val="24"/>
        </w:rPr>
        <w:t xml:space="preserve"> odpowiednio o </w:t>
      </w:r>
      <w:r w:rsidR="006F4624" w:rsidRPr="00F27CD1">
        <w:rPr>
          <w:rFonts w:asciiTheme="minorHAnsi" w:hAnsiTheme="minorHAnsi" w:cstheme="minorHAnsi"/>
          <w:sz w:val="24"/>
          <w:szCs w:val="24"/>
        </w:rPr>
        <w:t>10,65</w:t>
      </w:r>
      <w:r w:rsidRPr="00F27CD1">
        <w:rPr>
          <w:rFonts w:asciiTheme="minorHAnsi" w:hAnsiTheme="minorHAnsi" w:cstheme="minorHAnsi"/>
          <w:sz w:val="24"/>
          <w:szCs w:val="24"/>
        </w:rPr>
        <w:t xml:space="preserve"> mln zł oraz o </w:t>
      </w:r>
      <w:r w:rsidR="006F4624" w:rsidRPr="00F27CD1">
        <w:rPr>
          <w:rFonts w:asciiTheme="minorHAnsi" w:hAnsiTheme="minorHAnsi" w:cstheme="minorHAnsi"/>
          <w:sz w:val="24"/>
          <w:szCs w:val="24"/>
        </w:rPr>
        <w:t>3,9</w:t>
      </w:r>
      <w:r w:rsidRPr="00F27CD1">
        <w:rPr>
          <w:rFonts w:asciiTheme="minorHAnsi" w:hAnsiTheme="minorHAnsi" w:cstheme="minorHAnsi"/>
          <w:sz w:val="24"/>
          <w:szCs w:val="24"/>
        </w:rPr>
        <w:t xml:space="preserve"> mln zł</w:t>
      </w:r>
      <w:r w:rsidR="00DC0DA6">
        <w:rPr>
          <w:rFonts w:asciiTheme="minorHAnsi" w:hAnsiTheme="minorHAnsi" w:cstheme="minorHAnsi"/>
          <w:sz w:val="24"/>
          <w:szCs w:val="24"/>
        </w:rPr>
        <w:t>, w Pogotowiu w Rzeszowie wzrosły o 17,8 mln zł – związane jest to ze wzrostem wartości zobowiązań krótkoterminowych wobec dostawców</w:t>
      </w:r>
      <w:r w:rsidRPr="00F27C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AC33A0F" w14:textId="53E092D6" w:rsidR="00280476" w:rsidRPr="00F27CD1" w:rsidRDefault="00280476" w:rsidP="004C5EBF">
      <w:pPr>
        <w:spacing w:after="3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27CD1">
        <w:rPr>
          <w:rFonts w:asciiTheme="minorHAnsi" w:hAnsiTheme="minorHAnsi" w:cstheme="minorHAnsi"/>
          <w:sz w:val="24"/>
          <w:szCs w:val="24"/>
        </w:rPr>
        <w:lastRenderedPageBreak/>
        <w:t xml:space="preserve">Szczegółowe dane zawiera tabela </w:t>
      </w:r>
      <w:r w:rsidR="00AE6999">
        <w:rPr>
          <w:rFonts w:asciiTheme="minorHAnsi" w:hAnsiTheme="minorHAnsi" w:cstheme="minorHAnsi"/>
          <w:sz w:val="24"/>
          <w:szCs w:val="24"/>
        </w:rPr>
        <w:t>6</w:t>
      </w:r>
      <w:r w:rsidRPr="00F27CD1">
        <w:rPr>
          <w:rFonts w:asciiTheme="minorHAnsi" w:hAnsiTheme="minorHAnsi" w:cstheme="minorHAnsi"/>
          <w:sz w:val="24"/>
          <w:szCs w:val="24"/>
        </w:rPr>
        <w:t>.</w:t>
      </w:r>
    </w:p>
    <w:p w14:paraId="5D59B9E9" w14:textId="1A7A0709" w:rsidR="008C3A40" w:rsidRPr="00F27CD1" w:rsidRDefault="008C3A40" w:rsidP="008C3A4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F27CD1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F27CD1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F27CD1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F27CD1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6</w:t>
      </w:r>
      <w:r w:rsidR="00204628" w:rsidRPr="00F27CD1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F27CD1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  <w:r w:rsidRPr="00F27CD1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Zobowiązania ogółem wojewódzkich podmiotów leczniczych w latach 202</w:t>
      </w:r>
      <w:r w:rsidR="006143E9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2</w:t>
      </w:r>
      <w:r w:rsidRPr="00F27CD1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-202</w:t>
      </w:r>
      <w:r w:rsidR="006143E9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3</w:t>
      </w:r>
      <w:r w:rsidRPr="00F27CD1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.</w:t>
      </w:r>
    </w:p>
    <w:tbl>
      <w:tblPr>
        <w:tblW w:w="49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6 Zobowiązania ogółem wojewódzkich podmiotów leczniczych w latach 2022-2023"/>
        <w:tblDescription w:val="Tabela zawiera informacje: Podmiot leczniczy, Zobowiązania ogółem stan na 31.12.2022 r., Zobowiązania ogółem stan na 31.12.2023 r., Zmiana zobowiązań ogółem 2023 a 2022"/>
      </w:tblPr>
      <w:tblGrid>
        <w:gridCol w:w="2336"/>
        <w:gridCol w:w="2303"/>
        <w:gridCol w:w="2303"/>
        <w:gridCol w:w="2188"/>
      </w:tblGrid>
      <w:tr w:rsidR="003B0FDE" w:rsidRPr="00623791" w14:paraId="6950CFA0" w14:textId="77777777" w:rsidTr="005C2306">
        <w:trPr>
          <w:trHeight w:val="227"/>
          <w:tblHeader/>
        </w:trPr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D755" w14:textId="77777777" w:rsidR="003B0FDE" w:rsidRPr="00623791" w:rsidRDefault="003B0FDE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B550" w14:textId="294213C8" w:rsidR="003B0FDE" w:rsidRPr="00623791" w:rsidRDefault="003B0FDE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Zobowiązania ogółem </w:t>
            </w:r>
            <w:r w:rsidRPr="006237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8A6540"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2AB4F" w14:textId="2B3E574A" w:rsidR="003B0FDE" w:rsidRPr="00623791" w:rsidRDefault="003C6E62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Zobowiązania ogółem </w:t>
            </w:r>
            <w:r w:rsidRPr="006237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8A6540"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3B0FDE"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C918" w14:textId="77777777" w:rsidR="00FA0613" w:rsidRPr="00623791" w:rsidRDefault="003B0FDE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Zmiana </w:t>
            </w:r>
            <w:r w:rsidR="00FC1C2B" w:rsidRPr="006237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6237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zobowiązań ogółem </w:t>
            </w:r>
          </w:p>
          <w:p w14:paraId="08A97DEE" w14:textId="58C425DD" w:rsidR="003B0FDE" w:rsidRPr="00623791" w:rsidRDefault="00521690" w:rsidP="004B1F49">
            <w:pPr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</w:t>
            </w:r>
            <w:r w:rsidR="008A6540"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a 202</w:t>
            </w:r>
            <w:r w:rsidR="008A6540"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3B0FDE" w:rsidRPr="00623791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A6540" w:rsidRPr="00623791" w14:paraId="172D8AA9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087BF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A9EA" w14:textId="39C93A5D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193 139 095,79</w:t>
            </w:r>
          </w:p>
        </w:tc>
        <w:tc>
          <w:tcPr>
            <w:tcW w:w="12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755D7" w14:textId="23C84C50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160 528 092,25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34FF29" w14:textId="4F1F5C2D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-32 611 003,54</w:t>
            </w:r>
          </w:p>
        </w:tc>
      </w:tr>
      <w:tr w:rsidR="008A6540" w:rsidRPr="00623791" w14:paraId="642040DE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2CD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CEF28" w14:textId="4516AE0E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93 954 109,90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FC5D3" w14:textId="7980CA31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104 600 000,00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4DF89" w14:textId="27BEAA51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10 645 890,10</w:t>
            </w:r>
          </w:p>
        </w:tc>
      </w:tr>
      <w:tr w:rsidR="008A6540" w:rsidRPr="00623791" w14:paraId="70B90A8E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6408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B6984" w14:textId="73D22932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123 186 659,77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BA1EE" w14:textId="2A0F4FC3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123 812 382,04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EB0D" w14:textId="7CCC91DF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625 722,27</w:t>
            </w:r>
          </w:p>
        </w:tc>
      </w:tr>
      <w:tr w:rsidR="008A6540" w:rsidRPr="00623791" w14:paraId="0E571136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6CDF5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7DC24" w14:textId="0F87BE4A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86 067 753,27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50407" w14:textId="245BD931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89 976 974,92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86E2A" w14:textId="3156074C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3 909 221,65</w:t>
            </w:r>
          </w:p>
        </w:tc>
      </w:tr>
      <w:tr w:rsidR="008A6540" w:rsidRPr="00623791" w14:paraId="0B29E794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BF0D3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92AEF0" w14:textId="029FCD40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11 477 146,52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4DF052" w14:textId="3CA4588A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11 484 469,59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97067" w14:textId="0B205CFC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7 323,07</w:t>
            </w:r>
          </w:p>
        </w:tc>
      </w:tr>
      <w:tr w:rsidR="008A6540" w:rsidRPr="00623791" w14:paraId="74DA812F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C92B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5D80" w14:textId="3FA6003D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4 067 966,15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6BA09" w14:textId="3C39A180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4 936 367,60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BD07F" w14:textId="2BE96231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868 401,45</w:t>
            </w:r>
          </w:p>
        </w:tc>
      </w:tr>
      <w:tr w:rsidR="008A6540" w:rsidRPr="00623791" w14:paraId="5122884A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DB63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WZS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53C9" w14:textId="541A3E1D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4 100 514,48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E125F" w14:textId="2ADEAD40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2 664 501,65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3A3DF" w14:textId="6880A68B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-1 436 012,83</w:t>
            </w:r>
          </w:p>
        </w:tc>
      </w:tr>
      <w:tr w:rsidR="008A6540" w:rsidRPr="00623791" w14:paraId="47B8184B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35666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WOMP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666E4" w14:textId="5A21653D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562 190,86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C5F884" w14:textId="7C8764AB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392 118,21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DBC8ED" w14:textId="0AF1A6AE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-170 072,65</w:t>
            </w:r>
          </w:p>
        </w:tc>
      </w:tr>
      <w:tr w:rsidR="008A6540" w:rsidRPr="00623791" w14:paraId="06A0900E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DA2C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PCM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6BD87" w14:textId="11DC41C5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4 747 388,70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19B1D" w14:textId="5F45AFFA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4 684 301,82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94C8" w14:textId="46B7CABD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-63 086,88</w:t>
            </w:r>
          </w:p>
        </w:tc>
      </w:tr>
      <w:tr w:rsidR="008A6540" w:rsidRPr="00623791" w14:paraId="258412A0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322EE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FE6FE" w14:textId="7FB6B111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9 507 315,19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D72A4" w14:textId="768FD9FF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27 375 752,89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53EBA5" w14:textId="476AEEDB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17 868 437,70</w:t>
            </w:r>
          </w:p>
        </w:tc>
      </w:tr>
      <w:tr w:rsidR="008A6540" w:rsidRPr="00623791" w14:paraId="7C83AB65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5D5D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Przemyśl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99F70" w14:textId="58F6B545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5 120 828,06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F65FAF" w14:textId="6BC66650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5 639 215,00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187CD" w14:textId="598B0FEF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518 386,94</w:t>
            </w:r>
          </w:p>
        </w:tc>
      </w:tr>
      <w:tr w:rsidR="008A6540" w:rsidRPr="00623791" w14:paraId="38CD1AF6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3F6B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 Rzeszów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4E448" w14:textId="5F79E71C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265 414,74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67406" w14:textId="46D7E4CE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366 809,55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DEA2A" w14:textId="17342EC1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101 394,81</w:t>
            </w:r>
          </w:p>
        </w:tc>
      </w:tr>
      <w:tr w:rsidR="008A6540" w:rsidRPr="00623791" w14:paraId="37472C4E" w14:textId="77777777" w:rsidTr="0089081B">
        <w:trPr>
          <w:trHeight w:val="227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010B5" w14:textId="77777777" w:rsidR="008A6540" w:rsidRPr="00623791" w:rsidRDefault="008A6540" w:rsidP="008A6540">
            <w:pPr>
              <w:spacing w:after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WOTUiA Stalowa Wola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DB237" w14:textId="3803A56E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1 527 631,83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0AC63E" w14:textId="17BA05A7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376 492,85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3FF55" w14:textId="46BF7278" w:rsidR="008A6540" w:rsidRPr="00623791" w:rsidRDefault="008A6540" w:rsidP="008A6540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hAnsiTheme="minorHAnsi" w:cstheme="minorHAnsi"/>
                <w:sz w:val="20"/>
                <w:szCs w:val="20"/>
              </w:rPr>
              <w:t>-1 151 138,98</w:t>
            </w:r>
          </w:p>
        </w:tc>
      </w:tr>
      <w:tr w:rsidR="008A6540" w:rsidRPr="008A6540" w14:paraId="2C3EBC19" w14:textId="77777777" w:rsidTr="00672C70">
        <w:trPr>
          <w:trHeight w:val="454"/>
          <w:tblHeader/>
        </w:trPr>
        <w:tc>
          <w:tcPr>
            <w:tcW w:w="12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B90AA" w14:textId="77777777" w:rsidR="008A6540" w:rsidRPr="00623791" w:rsidRDefault="008A6540" w:rsidP="00672C70">
            <w:pPr>
              <w:spacing w:after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23791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9ABEA" w14:textId="7CB3BC9C" w:rsidR="008A6540" w:rsidRPr="00672C70" w:rsidRDefault="008A6540" w:rsidP="00672C7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537 724 015,26</w:t>
            </w:r>
          </w:p>
        </w:tc>
        <w:tc>
          <w:tcPr>
            <w:tcW w:w="1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07E5" w14:textId="3CFD1A35" w:rsidR="008A6540" w:rsidRPr="00672C70" w:rsidRDefault="008A6540" w:rsidP="00672C7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536 837 478,37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CDEDE" w14:textId="2D2CED93" w:rsidR="008A6540" w:rsidRPr="00672C70" w:rsidRDefault="008A6540" w:rsidP="00672C70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72C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-886 536,89</w:t>
            </w:r>
          </w:p>
        </w:tc>
      </w:tr>
    </w:tbl>
    <w:p w14:paraId="78E993A9" w14:textId="77777777" w:rsidR="009943B0" w:rsidRPr="00623791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  <w:sectPr w:rsidR="009943B0" w:rsidRPr="00623791" w:rsidSect="003F4DAE">
          <w:pgSz w:w="11906" w:h="16838"/>
          <w:pgMar w:top="851" w:right="1274" w:bottom="1417" w:left="1417" w:header="708" w:footer="708" w:gutter="0"/>
          <w:cols w:space="708"/>
          <w:docGrid w:linePitch="360"/>
        </w:sectPr>
      </w:pPr>
      <w:r w:rsidRPr="00623791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4580BFEC" w14:textId="77777777" w:rsidR="009943B0" w:rsidRPr="001A7439" w:rsidRDefault="009943B0" w:rsidP="00CD6CE6">
      <w:pPr>
        <w:pStyle w:val="Nagwek3"/>
        <w:spacing w:before="0"/>
        <w:ind w:left="0"/>
        <w:rPr>
          <w:rFonts w:cs="Calibri"/>
          <w:szCs w:val="24"/>
        </w:rPr>
      </w:pPr>
      <w:r w:rsidRPr="001A7439">
        <w:rPr>
          <w:rFonts w:cs="Calibri"/>
          <w:szCs w:val="24"/>
        </w:rPr>
        <w:lastRenderedPageBreak/>
        <w:t>Kredyty restrukturyzacyjne szpitali wojewódzkich</w:t>
      </w:r>
    </w:p>
    <w:p w14:paraId="774FA3F0" w14:textId="77777777" w:rsidR="009943B0" w:rsidRPr="001A7439" w:rsidRDefault="009943B0" w:rsidP="009943B0">
      <w:pPr>
        <w:jc w:val="both"/>
        <w:rPr>
          <w:rFonts w:asciiTheme="minorHAnsi" w:hAnsiTheme="minorHAnsi" w:cstheme="minorHAnsi"/>
          <w:sz w:val="24"/>
          <w:szCs w:val="24"/>
        </w:rPr>
      </w:pPr>
      <w:bookmarkStart w:id="5" w:name="_Hlk132361743"/>
      <w:r w:rsidRPr="001A7439">
        <w:rPr>
          <w:rFonts w:asciiTheme="minorHAnsi" w:hAnsiTheme="minorHAnsi" w:cstheme="minorHAnsi"/>
          <w:sz w:val="24"/>
          <w:szCs w:val="24"/>
        </w:rPr>
        <w:t>Szpitale wojewódzkie spłacają kredyt restrukturyzacyjny – stan spłaty zawiera poniższa tabela.</w:t>
      </w:r>
    </w:p>
    <w:p w14:paraId="267CC2FB" w14:textId="1F190D3A" w:rsidR="0062065B" w:rsidRPr="001A7439" w:rsidRDefault="0062065B" w:rsidP="0062065B">
      <w:pPr>
        <w:pStyle w:val="Legenda"/>
        <w:keepNext/>
        <w:rPr>
          <w:rFonts w:ascii="Calibri" w:hAnsi="Calibri" w:cs="Calibri"/>
          <w:i w:val="0"/>
          <w:iCs w:val="0"/>
          <w:color w:val="auto"/>
          <w:sz w:val="20"/>
          <w:szCs w:val="20"/>
        </w:rPr>
      </w:pPr>
      <w:r w:rsidRPr="001A7439">
        <w:rPr>
          <w:rFonts w:ascii="Calibri" w:hAnsi="Calibri" w:cs="Calibri"/>
          <w:i w:val="0"/>
          <w:iCs w:val="0"/>
          <w:color w:val="auto"/>
          <w:sz w:val="20"/>
          <w:szCs w:val="20"/>
        </w:rPr>
        <w:t xml:space="preserve">Tabela </w:t>
      </w:r>
      <w:r w:rsidRPr="001A7439">
        <w:rPr>
          <w:rFonts w:ascii="Calibri" w:hAnsi="Calibri" w:cs="Calibri"/>
          <w:i w:val="0"/>
          <w:iCs w:val="0"/>
          <w:color w:val="auto"/>
          <w:sz w:val="20"/>
          <w:szCs w:val="20"/>
        </w:rPr>
        <w:fldChar w:fldCharType="begin"/>
      </w:r>
      <w:r w:rsidRPr="001A7439">
        <w:rPr>
          <w:rFonts w:ascii="Calibri" w:hAnsi="Calibri" w:cs="Calibr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Pr="001A7439">
        <w:rPr>
          <w:rFonts w:ascii="Calibri" w:hAnsi="Calibri" w:cs="Calibri"/>
          <w:i w:val="0"/>
          <w:iCs w:val="0"/>
          <w:color w:val="auto"/>
          <w:sz w:val="20"/>
          <w:szCs w:val="20"/>
        </w:rPr>
        <w:fldChar w:fldCharType="separate"/>
      </w:r>
      <w:r w:rsidR="00DA1FC2">
        <w:rPr>
          <w:rFonts w:ascii="Calibri" w:hAnsi="Calibri" w:cs="Calibri"/>
          <w:i w:val="0"/>
          <w:iCs w:val="0"/>
          <w:noProof/>
          <w:color w:val="auto"/>
          <w:sz w:val="20"/>
          <w:szCs w:val="20"/>
        </w:rPr>
        <w:t>7</w:t>
      </w:r>
      <w:r w:rsidRPr="001A7439">
        <w:rPr>
          <w:rFonts w:ascii="Calibri" w:hAnsi="Calibri" w:cs="Calibri"/>
          <w:i w:val="0"/>
          <w:iCs w:val="0"/>
          <w:color w:val="auto"/>
          <w:sz w:val="20"/>
          <w:szCs w:val="20"/>
        </w:rPr>
        <w:fldChar w:fldCharType="end"/>
      </w:r>
      <w:r w:rsidR="001A7439" w:rsidRPr="001A7439">
        <w:rPr>
          <w:rFonts w:ascii="Calibri" w:hAnsi="Calibri" w:cs="Calibri"/>
          <w:i w:val="0"/>
          <w:iCs w:val="0"/>
          <w:color w:val="auto"/>
          <w:sz w:val="20"/>
          <w:szCs w:val="20"/>
        </w:rPr>
        <w:t>. Spłata kredytu restrukturyzacyjnego</w:t>
      </w:r>
    </w:p>
    <w:tbl>
      <w:tblPr>
        <w:tblW w:w="5361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7 Spłata kredytu restrukturyzacyjnego"/>
        <w:tblDescription w:val="tabela zawiera Nazwa Szpitala, Kwota kredytu na dzień zawarcia umowy w zł, zapłacone odsetki od początku umowy  stan na 31.12.2023, Spłata kapitału kredytu od początku umowy  stan na 31.12.2023, Wartość kapitału po spłacie od początku umowy - stan na 31.12.2023"/>
      </w:tblPr>
      <w:tblGrid>
        <w:gridCol w:w="2830"/>
        <w:gridCol w:w="1445"/>
        <w:gridCol w:w="1933"/>
        <w:gridCol w:w="1893"/>
        <w:gridCol w:w="1769"/>
      </w:tblGrid>
      <w:tr w:rsidR="009943B0" w:rsidRPr="001A7439" w14:paraId="12523B48" w14:textId="77777777" w:rsidTr="00CA35C1">
        <w:trPr>
          <w:trHeight w:val="102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bookmarkEnd w:id="5"/>
          <w:p w14:paraId="45511AE9" w14:textId="77777777" w:rsidR="009943B0" w:rsidRPr="001A7439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Szpitala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225B3" w14:textId="77777777" w:rsidR="009943B0" w:rsidRPr="001A7439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Kwota kredytu na dzień zawarcia umowy [zł]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21B0" w14:textId="194A0E68" w:rsidR="009943B0" w:rsidRPr="001A7439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Zapłacone odsetki od początku umowy - stan na 31.12.202</w:t>
            </w:r>
            <w:r w:rsidR="001A7439"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38BA" w14:textId="202CDE78" w:rsidR="009943B0" w:rsidRPr="001A7439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Spłata kapitału kredytu od początku umowy - stan na 31.12.202</w:t>
            </w:r>
            <w:r w:rsidR="001A7439"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6FE9B" w14:textId="0D098EC5" w:rsidR="009943B0" w:rsidRPr="001A7439" w:rsidRDefault="009943B0" w:rsidP="001A22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Wartość kapitału po spłacie od początku umowy - stan na 31.12.202</w:t>
            </w:r>
            <w:r w:rsidR="001A7439"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1A7439" w:rsidRPr="001A7439" w14:paraId="6AC1C698" w14:textId="77777777" w:rsidTr="00CA35C1">
        <w:trPr>
          <w:trHeight w:val="510"/>
        </w:trPr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EAC1" w14:textId="77777777" w:rsidR="001A7439" w:rsidRPr="001A7439" w:rsidRDefault="001A7439" w:rsidP="001A7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Kliniczny Szpital Wojewódzki Nr 2 im. Św. Jadwigi Królowej w Rzeszowie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2F7C3" w14:textId="77777777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137 000 000,00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79AE0" w14:textId="279435A4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26 491 152,37</w:t>
            </w:r>
          </w:p>
        </w:tc>
        <w:tc>
          <w:tcPr>
            <w:tcW w:w="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D7590" w14:textId="0F2B7301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62 176 393,67</w:t>
            </w:r>
          </w:p>
        </w:tc>
        <w:tc>
          <w:tcPr>
            <w:tcW w:w="8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EA0" w14:textId="214027B6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74 823 606,33</w:t>
            </w:r>
          </w:p>
        </w:tc>
      </w:tr>
      <w:tr w:rsidR="001A7439" w:rsidRPr="001A7439" w14:paraId="19EC489E" w14:textId="77777777" w:rsidTr="00CA35C1">
        <w:trPr>
          <w:trHeight w:val="51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B772" w14:textId="77777777" w:rsidR="001A7439" w:rsidRPr="001A7439" w:rsidRDefault="001A7439" w:rsidP="001A7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Wojewódzki Szpital Podkarpacki im. Jana Pawła II w Krośnie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5E6A" w14:textId="77777777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66 000 000,00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0E5B8" w14:textId="7A555B0A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13 134 885,60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99C2E" w14:textId="0D6FEEA1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3 410 000,00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96D5" w14:textId="3153F0B4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62 590 000,00</w:t>
            </w:r>
          </w:p>
        </w:tc>
      </w:tr>
      <w:tr w:rsidR="001A7439" w:rsidRPr="001A7439" w14:paraId="547123FC" w14:textId="77777777" w:rsidTr="00CA35C1">
        <w:trPr>
          <w:trHeight w:val="765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A83B5" w14:textId="77777777" w:rsidR="001A7439" w:rsidRPr="001A7439" w:rsidRDefault="001A7439" w:rsidP="001A7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Wojewódzki Szpital im. Zofii z Zamoyskich Tarnowskiej w Tarnobrzegu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B73F8" w14:textId="77777777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36 800 000,00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DA4B" w14:textId="249224A2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9 934 222,30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F49FB" w14:textId="70464C86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1 680 000,00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211D" w14:textId="1EF7712E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35 120 000,00</w:t>
            </w:r>
          </w:p>
        </w:tc>
      </w:tr>
      <w:tr w:rsidR="001A7439" w:rsidRPr="001A7439" w14:paraId="69EC9F87" w14:textId="77777777" w:rsidTr="00CA35C1">
        <w:trPr>
          <w:trHeight w:val="51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5B35" w14:textId="77777777" w:rsidR="001A7439" w:rsidRPr="001A7439" w:rsidRDefault="001A7439" w:rsidP="001A74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Wojewódzki Szpital im. Ojca Pio w Przemyślu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BFDE" w14:textId="77777777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93 000 000,00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689A9" w14:textId="2AB5AEBC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12 995 102,68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BBFC" w14:textId="0BA58024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971A" w14:textId="754EAA67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color w:val="000000"/>
                <w:sz w:val="20"/>
                <w:szCs w:val="20"/>
              </w:rPr>
              <w:t>78 000 000,00</w:t>
            </w:r>
          </w:p>
        </w:tc>
      </w:tr>
      <w:tr w:rsidR="001A7439" w:rsidRPr="009D03BD" w14:paraId="3CE2F430" w14:textId="77777777" w:rsidTr="00CA35C1">
        <w:trPr>
          <w:trHeight w:val="300"/>
        </w:trPr>
        <w:tc>
          <w:tcPr>
            <w:tcW w:w="14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EB24" w14:textId="77777777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8989" w14:textId="77777777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332 800 000,00</w:t>
            </w:r>
          </w:p>
        </w:tc>
        <w:tc>
          <w:tcPr>
            <w:tcW w:w="9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3538" w14:textId="2D2AC146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62 555 362,95</w:t>
            </w:r>
          </w:p>
        </w:tc>
        <w:tc>
          <w:tcPr>
            <w:tcW w:w="9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8720" w14:textId="6A8B2649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82 266 393,67</w:t>
            </w:r>
          </w:p>
        </w:tc>
        <w:tc>
          <w:tcPr>
            <w:tcW w:w="8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B209" w14:textId="3B95FEB8" w:rsidR="001A7439" w:rsidRPr="001A7439" w:rsidRDefault="001A7439" w:rsidP="001A743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A7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250 533 606,33</w:t>
            </w:r>
          </w:p>
        </w:tc>
      </w:tr>
    </w:tbl>
    <w:p w14:paraId="5A568D8A" w14:textId="77777777" w:rsidR="009943B0" w:rsidRPr="009D03BD" w:rsidRDefault="009943B0" w:rsidP="009943B0">
      <w:pPr>
        <w:spacing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DC2CF90" w14:textId="289CF282" w:rsidR="003B0FDE" w:rsidRPr="00B560A9" w:rsidRDefault="003B0FDE" w:rsidP="009943B0">
      <w:pPr>
        <w:pStyle w:val="Nagwek3"/>
        <w:spacing w:before="240" w:after="120"/>
        <w:ind w:left="0"/>
        <w:rPr>
          <w:rFonts w:asciiTheme="minorHAnsi" w:hAnsiTheme="minorHAnsi" w:cstheme="minorHAnsi"/>
        </w:rPr>
      </w:pPr>
      <w:r w:rsidRPr="00B560A9">
        <w:rPr>
          <w:rFonts w:asciiTheme="minorHAnsi" w:hAnsiTheme="minorHAnsi" w:cstheme="minorHAnsi"/>
        </w:rPr>
        <w:t>Zobowiązania wymagalne</w:t>
      </w:r>
    </w:p>
    <w:p w14:paraId="35A1C844" w14:textId="0DDE7706" w:rsidR="00A42D54" w:rsidRPr="00FF2839" w:rsidRDefault="003B0FDE" w:rsidP="008816E2">
      <w:pPr>
        <w:jc w:val="both"/>
        <w:rPr>
          <w:rFonts w:asciiTheme="minorHAnsi" w:hAnsiTheme="minorHAnsi" w:cstheme="minorHAnsi"/>
          <w:sz w:val="24"/>
        </w:rPr>
      </w:pPr>
      <w:r w:rsidRPr="00B560A9">
        <w:rPr>
          <w:rFonts w:asciiTheme="minorHAnsi" w:hAnsiTheme="minorHAnsi" w:cstheme="minorHAnsi"/>
          <w:sz w:val="24"/>
        </w:rPr>
        <w:t>Zobowiązania wymagalne w 202</w:t>
      </w:r>
      <w:r w:rsidR="00B560A9" w:rsidRPr="00B560A9">
        <w:rPr>
          <w:rFonts w:asciiTheme="minorHAnsi" w:hAnsiTheme="minorHAnsi" w:cstheme="minorHAnsi"/>
          <w:sz w:val="24"/>
        </w:rPr>
        <w:t>3</w:t>
      </w:r>
      <w:r w:rsidRPr="00B560A9">
        <w:rPr>
          <w:rFonts w:asciiTheme="minorHAnsi" w:hAnsiTheme="minorHAnsi" w:cstheme="minorHAnsi"/>
          <w:sz w:val="24"/>
        </w:rPr>
        <w:t xml:space="preserve"> r. wyniosły łącznie </w:t>
      </w:r>
      <w:r w:rsidR="00AE6999">
        <w:rPr>
          <w:rFonts w:asciiTheme="minorHAnsi" w:hAnsiTheme="minorHAnsi" w:cstheme="minorHAnsi"/>
          <w:sz w:val="24"/>
        </w:rPr>
        <w:t>27,16</w:t>
      </w:r>
      <w:r w:rsidRPr="00B560A9">
        <w:rPr>
          <w:rFonts w:asciiTheme="minorHAnsi" w:hAnsiTheme="minorHAnsi" w:cstheme="minorHAnsi"/>
          <w:sz w:val="24"/>
        </w:rPr>
        <w:t xml:space="preserve"> mln zł i w porównaniu do 202</w:t>
      </w:r>
      <w:r w:rsidR="00B560A9" w:rsidRPr="00B560A9">
        <w:rPr>
          <w:rFonts w:asciiTheme="minorHAnsi" w:hAnsiTheme="minorHAnsi" w:cstheme="minorHAnsi"/>
          <w:sz w:val="24"/>
        </w:rPr>
        <w:t>2</w:t>
      </w:r>
      <w:r w:rsidR="004B1F49" w:rsidRPr="00B560A9">
        <w:rPr>
          <w:rFonts w:asciiTheme="minorHAnsi" w:hAnsiTheme="minorHAnsi" w:cstheme="minorHAnsi"/>
          <w:sz w:val="24"/>
        </w:rPr>
        <w:t xml:space="preserve"> r. </w:t>
      </w:r>
      <w:r w:rsidR="00B560A9" w:rsidRPr="00FF2839">
        <w:rPr>
          <w:rFonts w:asciiTheme="minorHAnsi" w:hAnsiTheme="minorHAnsi" w:cstheme="minorHAnsi"/>
          <w:sz w:val="24"/>
        </w:rPr>
        <w:t>zwiększyły</w:t>
      </w:r>
      <w:r w:rsidR="004B1F49" w:rsidRPr="00FF2839">
        <w:rPr>
          <w:rFonts w:asciiTheme="minorHAnsi" w:hAnsiTheme="minorHAnsi" w:cstheme="minorHAnsi"/>
          <w:sz w:val="24"/>
        </w:rPr>
        <w:t xml:space="preserve"> się o </w:t>
      </w:r>
      <w:r w:rsidR="00B560A9" w:rsidRPr="00FF2839">
        <w:rPr>
          <w:rFonts w:asciiTheme="minorHAnsi" w:hAnsiTheme="minorHAnsi" w:cstheme="minorHAnsi"/>
          <w:sz w:val="24"/>
        </w:rPr>
        <w:t>2,35</w:t>
      </w:r>
      <w:r w:rsidR="008C3A40" w:rsidRPr="00FF2839">
        <w:rPr>
          <w:rFonts w:asciiTheme="minorHAnsi" w:hAnsiTheme="minorHAnsi" w:cstheme="minorHAnsi"/>
          <w:sz w:val="24"/>
        </w:rPr>
        <w:t xml:space="preserve"> mln</w:t>
      </w:r>
      <w:r w:rsidR="004B1F49" w:rsidRPr="00FF2839">
        <w:rPr>
          <w:rFonts w:asciiTheme="minorHAnsi" w:hAnsiTheme="minorHAnsi" w:cstheme="minorHAnsi"/>
          <w:sz w:val="24"/>
        </w:rPr>
        <w:t xml:space="preserve"> zł</w:t>
      </w:r>
      <w:r w:rsidRPr="00FF2839">
        <w:rPr>
          <w:rFonts w:asciiTheme="minorHAnsi" w:hAnsiTheme="minorHAnsi" w:cstheme="minorHAnsi"/>
          <w:sz w:val="24"/>
        </w:rPr>
        <w:t xml:space="preserve">. </w:t>
      </w:r>
    </w:p>
    <w:p w14:paraId="1A8CA369" w14:textId="56A46585" w:rsidR="003B0FDE" w:rsidRPr="00FF2839" w:rsidRDefault="004B1F49" w:rsidP="00D44063">
      <w:pPr>
        <w:spacing w:after="120"/>
        <w:jc w:val="both"/>
        <w:rPr>
          <w:rFonts w:asciiTheme="minorHAnsi" w:hAnsiTheme="minorHAnsi" w:cstheme="minorHAnsi"/>
          <w:sz w:val="24"/>
        </w:rPr>
      </w:pPr>
      <w:r w:rsidRPr="00FF2839">
        <w:rPr>
          <w:rFonts w:asciiTheme="minorHAnsi" w:hAnsiTheme="minorHAnsi" w:cstheme="minorHAnsi"/>
          <w:sz w:val="24"/>
        </w:rPr>
        <w:t>W</w:t>
      </w:r>
      <w:r w:rsidR="003B0FDE" w:rsidRPr="00FF2839">
        <w:rPr>
          <w:rFonts w:asciiTheme="minorHAnsi" w:hAnsiTheme="minorHAnsi" w:cstheme="minorHAnsi"/>
          <w:sz w:val="24"/>
        </w:rPr>
        <w:t xml:space="preserve"> 202</w:t>
      </w:r>
      <w:r w:rsidR="00B560A9" w:rsidRPr="00FF2839">
        <w:rPr>
          <w:rFonts w:asciiTheme="minorHAnsi" w:hAnsiTheme="minorHAnsi" w:cstheme="minorHAnsi"/>
          <w:sz w:val="24"/>
        </w:rPr>
        <w:t>3</w:t>
      </w:r>
      <w:r w:rsidR="003C6E62" w:rsidRPr="00FF2839">
        <w:rPr>
          <w:rFonts w:asciiTheme="minorHAnsi" w:hAnsiTheme="minorHAnsi" w:cstheme="minorHAnsi"/>
          <w:sz w:val="24"/>
        </w:rPr>
        <w:t xml:space="preserve"> </w:t>
      </w:r>
      <w:r w:rsidR="003B0FDE" w:rsidRPr="00FF2839">
        <w:rPr>
          <w:rFonts w:asciiTheme="minorHAnsi" w:hAnsiTheme="minorHAnsi" w:cstheme="minorHAnsi"/>
          <w:sz w:val="24"/>
        </w:rPr>
        <w:t xml:space="preserve">r. </w:t>
      </w:r>
      <w:r w:rsidRPr="00FF2839">
        <w:rPr>
          <w:rFonts w:asciiTheme="minorHAnsi" w:hAnsiTheme="minorHAnsi" w:cstheme="minorHAnsi"/>
          <w:sz w:val="24"/>
        </w:rPr>
        <w:t xml:space="preserve">zobowiązania wymagalne </w:t>
      </w:r>
      <w:r w:rsidR="00DC0DA6" w:rsidRPr="00FF2839">
        <w:rPr>
          <w:rFonts w:asciiTheme="minorHAnsi" w:hAnsiTheme="minorHAnsi" w:cstheme="minorHAnsi"/>
          <w:sz w:val="24"/>
        </w:rPr>
        <w:t xml:space="preserve">(z tytułu dostaw i usług) </w:t>
      </w:r>
      <w:r w:rsidRPr="00FF2839">
        <w:rPr>
          <w:rFonts w:asciiTheme="minorHAnsi" w:hAnsiTheme="minorHAnsi" w:cstheme="minorHAnsi"/>
          <w:sz w:val="24"/>
        </w:rPr>
        <w:t xml:space="preserve">wykazały tylko </w:t>
      </w:r>
      <w:r w:rsidR="008C3A40" w:rsidRPr="00FF2839">
        <w:rPr>
          <w:rFonts w:asciiTheme="minorHAnsi" w:hAnsiTheme="minorHAnsi" w:cstheme="minorHAnsi"/>
          <w:sz w:val="24"/>
        </w:rPr>
        <w:t>2</w:t>
      </w:r>
      <w:r w:rsidRPr="00FF2839">
        <w:rPr>
          <w:rFonts w:asciiTheme="minorHAnsi" w:hAnsiTheme="minorHAnsi" w:cstheme="minorHAnsi"/>
          <w:sz w:val="24"/>
        </w:rPr>
        <w:t xml:space="preserve"> szpitale: </w:t>
      </w:r>
      <w:r w:rsidR="003B0FDE" w:rsidRPr="00FF2839">
        <w:rPr>
          <w:rFonts w:asciiTheme="minorHAnsi" w:hAnsiTheme="minorHAnsi" w:cstheme="minorHAnsi"/>
          <w:sz w:val="24"/>
        </w:rPr>
        <w:t xml:space="preserve">w </w:t>
      </w:r>
      <w:r w:rsidR="00DC0DA6">
        <w:rPr>
          <w:rFonts w:asciiTheme="minorHAnsi" w:hAnsiTheme="minorHAnsi" w:cstheme="minorHAnsi"/>
          <w:sz w:val="24"/>
        </w:rPr>
        <w:t> </w:t>
      </w:r>
      <w:r w:rsidR="003B0FDE" w:rsidRPr="00FF2839">
        <w:rPr>
          <w:rFonts w:asciiTheme="minorHAnsi" w:hAnsiTheme="minorHAnsi" w:cstheme="minorHAnsi"/>
          <w:sz w:val="24"/>
        </w:rPr>
        <w:t>Tarnobrzegu</w:t>
      </w:r>
      <w:r w:rsidR="008C3A40" w:rsidRPr="00FF2839">
        <w:rPr>
          <w:rFonts w:asciiTheme="minorHAnsi" w:hAnsiTheme="minorHAnsi" w:cstheme="minorHAnsi"/>
          <w:sz w:val="24"/>
        </w:rPr>
        <w:t xml:space="preserve"> i </w:t>
      </w:r>
      <w:r w:rsidR="00FF2839" w:rsidRPr="00FF2839">
        <w:rPr>
          <w:rFonts w:asciiTheme="minorHAnsi" w:hAnsiTheme="minorHAnsi" w:cstheme="minorHAnsi"/>
          <w:sz w:val="24"/>
        </w:rPr>
        <w:t>Krośnie</w:t>
      </w:r>
    </w:p>
    <w:p w14:paraId="2D71BDF5" w14:textId="7F17F783" w:rsidR="008C3A40" w:rsidRPr="00FF2839" w:rsidRDefault="008C3A40" w:rsidP="008C3A4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</w:rPr>
      </w:pPr>
      <w:r w:rsidRPr="00FF2839">
        <w:rPr>
          <w:rFonts w:asciiTheme="minorHAnsi" w:hAnsiTheme="minorHAnsi" w:cstheme="minorHAnsi"/>
          <w:i w:val="0"/>
          <w:iCs w:val="0"/>
          <w:color w:val="auto"/>
        </w:rPr>
        <w:lastRenderedPageBreak/>
        <w:t xml:space="preserve">Tabela </w:t>
      </w:r>
      <w:r w:rsidR="00204628" w:rsidRPr="00FF2839">
        <w:rPr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204628" w:rsidRPr="00FF2839">
        <w:rPr>
          <w:rFonts w:asciiTheme="minorHAnsi" w:hAnsiTheme="minorHAnsi" w:cstheme="minorHAnsi"/>
          <w:i w:val="0"/>
          <w:iCs w:val="0"/>
          <w:color w:val="auto"/>
        </w:rPr>
        <w:instrText xml:space="preserve"> SEQ Tabela \* ARABIC </w:instrText>
      </w:r>
      <w:r w:rsidR="00204628" w:rsidRPr="00FF2839">
        <w:rPr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</w:rPr>
        <w:t>8</w:t>
      </w:r>
      <w:r w:rsidR="00204628" w:rsidRPr="00FF2839">
        <w:rPr>
          <w:rFonts w:asciiTheme="minorHAnsi" w:hAnsiTheme="minorHAnsi" w:cstheme="minorHAnsi"/>
          <w:i w:val="0"/>
          <w:iCs w:val="0"/>
          <w:noProof/>
          <w:color w:val="auto"/>
        </w:rPr>
        <w:fldChar w:fldCharType="end"/>
      </w:r>
      <w:r w:rsidRPr="00FF2839">
        <w:rPr>
          <w:rFonts w:asciiTheme="minorHAnsi" w:hAnsiTheme="minorHAnsi" w:cstheme="minorHAnsi"/>
          <w:i w:val="0"/>
          <w:iCs w:val="0"/>
          <w:color w:val="auto"/>
        </w:rPr>
        <w:t>.</w:t>
      </w:r>
      <w:r w:rsidRPr="00FF2839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 xml:space="preserve"> Zobowiązania wymagalne wojewódzkich podmiotów leczniczych w latach 202</w:t>
      </w:r>
      <w:r w:rsidR="00CA35C1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2</w:t>
      </w:r>
      <w:r w:rsidRPr="00FF2839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-202</w:t>
      </w:r>
      <w:r w:rsidR="00CA35C1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3</w:t>
      </w:r>
      <w:r w:rsidRPr="00FF2839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pl-PL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8 Zobowiązania wymagalne wojewódzkich podmiotów leczniczych w latach 2022-2023."/>
        <w:tblDescription w:val="Tabela zawiera informacje: Podmiot leczniczy, Zobowiązania wymagalne stan na 31.12.2022 r., Zobowiązania wymagalne stan na 31.12.2023 r., Zmiana zobowiązań wymagalnych 2023 a 2022"/>
      </w:tblPr>
      <w:tblGrid>
        <w:gridCol w:w="2302"/>
        <w:gridCol w:w="2301"/>
        <w:gridCol w:w="2301"/>
        <w:gridCol w:w="2301"/>
      </w:tblGrid>
      <w:tr w:rsidR="003B0FDE" w:rsidRPr="00AE6999" w14:paraId="474DE5BF" w14:textId="77777777" w:rsidTr="0006530D">
        <w:trPr>
          <w:trHeight w:val="283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2CD18" w14:textId="77777777" w:rsidR="003B0FDE" w:rsidRPr="00AE6999" w:rsidRDefault="003B0FDE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3075B" w14:textId="5F579C45" w:rsidR="003B0FDE" w:rsidRPr="00AE6999" w:rsidRDefault="003B0FDE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Zobowiązania wymagalne </w:t>
            </w:r>
            <w:r w:rsidRPr="00AE6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FF2839"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E0ECA" w14:textId="547A61E1" w:rsidR="003B0FDE" w:rsidRPr="00AE6999" w:rsidRDefault="003B0FDE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Zobowiązania wymagalne </w:t>
            </w:r>
            <w:r w:rsidRPr="00AE6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="00521690"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(stan na 31.12.202</w:t>
            </w:r>
            <w:r w:rsidR="00FF2839"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r.)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A4854" w14:textId="77777777" w:rsidR="00CA2069" w:rsidRPr="00AE6999" w:rsidRDefault="003B0FDE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Zmiana zobowiązań wymagalnych</w:t>
            </w:r>
          </w:p>
          <w:p w14:paraId="59059C66" w14:textId="4CCDA8A8" w:rsidR="003B0FDE" w:rsidRPr="00AE6999" w:rsidRDefault="00521690" w:rsidP="004B1F4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(202</w:t>
            </w:r>
            <w:r w:rsidR="00FF2839"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3B0FDE"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 xml:space="preserve"> a</w:t>
            </w:r>
            <w:r w:rsidR="00B109D6"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FF2839"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3B0FDE" w:rsidRPr="00AE6999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FF2839" w:rsidRPr="00AE6999" w14:paraId="312A50CB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A59B" w14:textId="067C8890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KSW nr 2 Rzeszów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26F1" w14:textId="4621973C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6BA27" w14:textId="36C49E48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D03266" w14:textId="0109C16A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39" w:rsidRPr="00AE6999" w14:paraId="0F68E826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3823" w14:textId="0C6BF4AA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 Krosno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87FFD" w14:textId="3673783D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EE9E" w14:textId="3B0E318E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6 717 709,30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8F7D8" w14:textId="6F7E1479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6 717 709,30</w:t>
            </w:r>
          </w:p>
        </w:tc>
      </w:tr>
      <w:tr w:rsidR="00FF2839" w:rsidRPr="00AE6999" w14:paraId="7F60483A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A2A4" w14:textId="215DC9EC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 Przemyśl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4731" w14:textId="1D5E5998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205EE" w14:textId="5C39EB71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A6138" w14:textId="649D257C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39" w:rsidRPr="00AE6999" w14:paraId="04132B4A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FE3B0" w14:textId="06049CB0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 Tarnobrzeg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EB246" w14:textId="42DC8862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24 807 416,87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A1161" w14:textId="4F17EF59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20 439 434,92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98A16" w14:textId="6C7BC616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-4 367 981,95</w:t>
            </w:r>
          </w:p>
        </w:tc>
      </w:tr>
      <w:tr w:rsidR="00FF2839" w:rsidRPr="00AE6999" w14:paraId="738A4DD7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05952" w14:textId="4AF38B48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SP ZOZ Jarosław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F9BC4" w14:textId="20C48305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A7AD82" w14:textId="7DE8A48E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81F02" w14:textId="06B77C9E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39" w:rsidRPr="00AE6999" w14:paraId="67CD3899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92133" w14:textId="51735B11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WPSP Żurawica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DB712C" w14:textId="1F19355A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116,00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1A869" w14:textId="683DDB2E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8EB3" w14:textId="4C0EDA5D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-116,00</w:t>
            </w:r>
          </w:p>
        </w:tc>
      </w:tr>
      <w:tr w:rsidR="00FF2839" w:rsidRPr="00AE6999" w14:paraId="45A8167F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420A" w14:textId="3B686DAD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WZS Rzeszów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F4829" w14:textId="416DE504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00E27" w14:textId="47644594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F664" w14:textId="384B12B9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39" w:rsidRPr="00AE6999" w14:paraId="426E55DD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DA81" w14:textId="4BAFE23F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WOMP Rzeszów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274EE" w14:textId="0D321784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CC826" w14:textId="490AC52B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70CAF" w14:textId="13F505E4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39" w:rsidRPr="00AE6999" w14:paraId="2B3FD30B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0D348" w14:textId="24A916D5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PCM Rzeszów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63C62" w14:textId="3B64522A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76387" w14:textId="26A97C96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2096A" w14:textId="32CC4829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39" w:rsidRPr="00AE6999" w14:paraId="253B0C39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014ED" w14:textId="2546E7A9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WSPR Rzeszów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FB053" w14:textId="2A0B7D1D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C2D08" w14:textId="3DFAD039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784D51" w14:textId="2173909B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39" w:rsidRPr="00AE6999" w14:paraId="1B2F2D14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0A5F2" w14:textId="13C541ED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WSPR Przemyśl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B1A71" w14:textId="550FB00C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497,63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23F9B" w14:textId="4C9659D1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BF265B" w14:textId="11C5EBF7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-497,63</w:t>
            </w:r>
          </w:p>
        </w:tc>
      </w:tr>
      <w:tr w:rsidR="00FF2839" w:rsidRPr="00AE6999" w14:paraId="70C3990F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1EB2" w14:textId="4CCCF91F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WOTU Rzeszów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388FB" w14:textId="44A8C722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AB178" w14:textId="17CEC8A6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7097B" w14:textId="1DA384F8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39" w:rsidRPr="00AE6999" w14:paraId="2CD9C939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CB83" w14:textId="71C252D6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WOTUiA Stalowa Wola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32C31" w14:textId="60AA7441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33835" w14:textId="1B5AA795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00C04" w14:textId="2EE901BC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</w:tr>
      <w:tr w:rsidR="00FF2839" w:rsidRPr="00AE6999" w14:paraId="5EDAC604" w14:textId="77777777" w:rsidTr="0006530D">
        <w:trPr>
          <w:trHeight w:val="283"/>
        </w:trPr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6C65" w14:textId="21DF1CE7" w:rsidR="00FF2839" w:rsidRPr="00AE6999" w:rsidRDefault="00FF2839" w:rsidP="00FF283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SUMA</w:t>
            </w:r>
          </w:p>
        </w:tc>
        <w:tc>
          <w:tcPr>
            <w:tcW w:w="1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02C9F" w14:textId="2736224A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24 808 030,50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C7FA4" w14:textId="1B3E591C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27 157 144,22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9930A" w14:textId="491D13DE" w:rsidR="00FF2839" w:rsidRPr="00AE6999" w:rsidRDefault="00FF2839" w:rsidP="00FF2839">
            <w:pPr>
              <w:spacing w:after="0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AE699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2 349 113,72</w:t>
            </w:r>
          </w:p>
        </w:tc>
      </w:tr>
    </w:tbl>
    <w:p w14:paraId="36DDF227" w14:textId="163D7B0D" w:rsidR="00D44063" w:rsidRPr="00FF2839" w:rsidRDefault="005D7D0A" w:rsidP="009943B0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FF2839">
        <w:rPr>
          <w:rFonts w:asciiTheme="minorHAnsi" w:hAnsiTheme="minorHAnsi" w:cstheme="minorHAnsi"/>
          <w:sz w:val="20"/>
          <w:szCs w:val="20"/>
        </w:rPr>
        <w:t>Źródło: opracowanie własn</w:t>
      </w:r>
      <w:r w:rsidR="009943B0" w:rsidRPr="00FF2839">
        <w:rPr>
          <w:rFonts w:asciiTheme="minorHAnsi" w:hAnsiTheme="minorHAnsi" w:cstheme="minorHAnsi"/>
          <w:sz w:val="20"/>
          <w:szCs w:val="20"/>
        </w:rPr>
        <w:t>e</w:t>
      </w:r>
    </w:p>
    <w:p w14:paraId="27509CCA" w14:textId="77777777" w:rsidR="00B109D6" w:rsidRPr="009D03BD" w:rsidRDefault="00B109D6" w:rsidP="003B0FDE">
      <w:pPr>
        <w:rPr>
          <w:rFonts w:asciiTheme="minorHAnsi" w:hAnsiTheme="minorHAnsi" w:cstheme="minorHAnsi"/>
          <w:highlight w:val="yellow"/>
        </w:rPr>
        <w:sectPr w:rsidR="00B109D6" w:rsidRPr="009D03BD" w:rsidSect="00CA35C1">
          <w:pgSz w:w="11906" w:h="16838"/>
          <w:pgMar w:top="1135" w:right="1274" w:bottom="1134" w:left="1417" w:header="708" w:footer="708" w:gutter="0"/>
          <w:cols w:space="708"/>
          <w:docGrid w:linePitch="360"/>
        </w:sectPr>
      </w:pPr>
    </w:p>
    <w:p w14:paraId="5A9BB4F8" w14:textId="77777777" w:rsidR="00B109D6" w:rsidRPr="002B0414" w:rsidRDefault="00B109D6" w:rsidP="00015273">
      <w:pPr>
        <w:pStyle w:val="Nagwek3"/>
        <w:spacing w:after="120"/>
        <w:ind w:left="0"/>
        <w:rPr>
          <w:rFonts w:asciiTheme="minorHAnsi" w:hAnsiTheme="minorHAnsi" w:cstheme="minorHAnsi"/>
          <w:szCs w:val="24"/>
        </w:rPr>
      </w:pPr>
      <w:r w:rsidRPr="002B0414">
        <w:rPr>
          <w:rFonts w:asciiTheme="minorHAnsi" w:hAnsiTheme="minorHAnsi" w:cstheme="minorHAnsi"/>
          <w:szCs w:val="24"/>
        </w:rPr>
        <w:lastRenderedPageBreak/>
        <w:t>Zatrudnienie</w:t>
      </w:r>
    </w:p>
    <w:p w14:paraId="227A61CA" w14:textId="16552DED" w:rsidR="001206F7" w:rsidRPr="002B0414" w:rsidRDefault="00B109D6" w:rsidP="009406BB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2B0414">
        <w:rPr>
          <w:rFonts w:asciiTheme="minorHAnsi" w:hAnsiTheme="minorHAnsi" w:cstheme="minorHAnsi"/>
          <w:sz w:val="24"/>
          <w:szCs w:val="24"/>
        </w:rPr>
        <w:t xml:space="preserve">Zatrudnienie </w:t>
      </w:r>
      <w:r w:rsidR="00875FED" w:rsidRPr="002B0414">
        <w:rPr>
          <w:rFonts w:asciiTheme="minorHAnsi" w:hAnsiTheme="minorHAnsi" w:cstheme="minorHAnsi"/>
          <w:sz w:val="24"/>
          <w:szCs w:val="24"/>
        </w:rPr>
        <w:t>w</w:t>
      </w:r>
      <w:r w:rsidRPr="002B0414">
        <w:rPr>
          <w:rFonts w:asciiTheme="minorHAnsi" w:hAnsiTheme="minorHAnsi" w:cstheme="minorHAnsi"/>
          <w:sz w:val="24"/>
          <w:szCs w:val="24"/>
        </w:rPr>
        <w:t xml:space="preserve"> podmiotach leczniczych wyniosło </w:t>
      </w:r>
      <w:r w:rsidR="00BE4A86" w:rsidRPr="002B0414">
        <w:rPr>
          <w:rFonts w:asciiTheme="minorHAnsi" w:hAnsiTheme="minorHAnsi" w:cstheme="minorHAnsi"/>
          <w:sz w:val="24"/>
          <w:szCs w:val="24"/>
        </w:rPr>
        <w:t>w 202</w:t>
      </w:r>
      <w:r w:rsidR="009F37FE" w:rsidRPr="002B0414">
        <w:rPr>
          <w:rFonts w:asciiTheme="minorHAnsi" w:hAnsiTheme="minorHAnsi" w:cstheme="minorHAnsi"/>
          <w:sz w:val="24"/>
          <w:szCs w:val="24"/>
        </w:rPr>
        <w:t>3</w:t>
      </w:r>
      <w:r w:rsidR="00BE4A86" w:rsidRPr="002B0414">
        <w:rPr>
          <w:rFonts w:asciiTheme="minorHAnsi" w:hAnsiTheme="minorHAnsi" w:cstheme="minorHAnsi"/>
          <w:sz w:val="24"/>
          <w:szCs w:val="24"/>
        </w:rPr>
        <w:t xml:space="preserve"> roku </w:t>
      </w:r>
      <w:r w:rsidR="003C6E62" w:rsidRPr="002B0414">
        <w:rPr>
          <w:rFonts w:asciiTheme="minorHAnsi" w:hAnsiTheme="minorHAnsi" w:cstheme="minorHAnsi"/>
          <w:sz w:val="24"/>
          <w:szCs w:val="24"/>
        </w:rPr>
        <w:t>łącznie</w:t>
      </w:r>
      <w:r w:rsidR="009F37FE" w:rsidRPr="002B0414">
        <w:rPr>
          <w:rFonts w:asciiTheme="minorHAnsi" w:hAnsiTheme="minorHAnsi" w:cstheme="minorHAnsi"/>
          <w:sz w:val="24"/>
          <w:szCs w:val="24"/>
        </w:rPr>
        <w:t xml:space="preserve"> 8 441,72</w:t>
      </w:r>
      <w:r w:rsidR="00BE4A86" w:rsidRPr="002B0414">
        <w:rPr>
          <w:rFonts w:asciiTheme="minorHAnsi" w:hAnsiTheme="minorHAnsi" w:cstheme="minorHAnsi"/>
          <w:sz w:val="24"/>
          <w:szCs w:val="24"/>
        </w:rPr>
        <w:t xml:space="preserve"> równoważników etatów (r.et.) </w:t>
      </w:r>
      <w:r w:rsidRPr="002B0414">
        <w:rPr>
          <w:rFonts w:asciiTheme="minorHAnsi" w:hAnsiTheme="minorHAnsi" w:cstheme="minorHAnsi"/>
          <w:sz w:val="24"/>
          <w:szCs w:val="24"/>
        </w:rPr>
        <w:t>i w porównaniu do</w:t>
      </w:r>
      <w:r w:rsidR="003C6E62" w:rsidRPr="002B0414">
        <w:rPr>
          <w:rFonts w:asciiTheme="minorHAnsi" w:hAnsiTheme="minorHAnsi" w:cstheme="minorHAnsi"/>
          <w:sz w:val="24"/>
          <w:szCs w:val="24"/>
        </w:rPr>
        <w:t xml:space="preserve"> </w:t>
      </w:r>
      <w:r w:rsidRPr="002B0414">
        <w:rPr>
          <w:rFonts w:asciiTheme="minorHAnsi" w:hAnsiTheme="minorHAnsi" w:cstheme="minorHAnsi"/>
          <w:sz w:val="24"/>
          <w:szCs w:val="24"/>
        </w:rPr>
        <w:t>202</w:t>
      </w:r>
      <w:r w:rsidR="009F37FE" w:rsidRPr="002B0414">
        <w:rPr>
          <w:rFonts w:asciiTheme="minorHAnsi" w:hAnsiTheme="minorHAnsi" w:cstheme="minorHAnsi"/>
          <w:sz w:val="24"/>
          <w:szCs w:val="24"/>
        </w:rPr>
        <w:t>2</w:t>
      </w:r>
      <w:r w:rsidRPr="002B0414">
        <w:rPr>
          <w:rFonts w:asciiTheme="minorHAnsi" w:hAnsiTheme="minorHAnsi" w:cstheme="minorHAnsi"/>
          <w:sz w:val="24"/>
          <w:szCs w:val="24"/>
        </w:rPr>
        <w:t xml:space="preserve"> r. </w:t>
      </w:r>
      <w:r w:rsidR="009F37FE" w:rsidRPr="002B0414">
        <w:rPr>
          <w:rFonts w:asciiTheme="minorHAnsi" w:hAnsiTheme="minorHAnsi" w:cstheme="minorHAnsi"/>
          <w:sz w:val="24"/>
          <w:szCs w:val="24"/>
        </w:rPr>
        <w:t xml:space="preserve">zmniejszyło się </w:t>
      </w:r>
      <w:r w:rsidRPr="002B0414">
        <w:rPr>
          <w:rFonts w:asciiTheme="minorHAnsi" w:hAnsiTheme="minorHAnsi" w:cstheme="minorHAnsi"/>
          <w:sz w:val="24"/>
          <w:szCs w:val="24"/>
        </w:rPr>
        <w:t xml:space="preserve">o </w:t>
      </w:r>
      <w:r w:rsidR="009F37FE" w:rsidRPr="002B0414">
        <w:rPr>
          <w:rFonts w:asciiTheme="minorHAnsi" w:hAnsiTheme="minorHAnsi" w:cstheme="minorHAnsi"/>
          <w:sz w:val="24"/>
          <w:szCs w:val="24"/>
        </w:rPr>
        <w:t xml:space="preserve">25,74 </w:t>
      </w:r>
      <w:r w:rsidR="00BE4A86" w:rsidRPr="002B0414">
        <w:rPr>
          <w:rFonts w:asciiTheme="minorHAnsi" w:hAnsiTheme="minorHAnsi" w:cstheme="minorHAnsi"/>
          <w:sz w:val="24"/>
          <w:szCs w:val="24"/>
        </w:rPr>
        <w:t>r.et.</w:t>
      </w:r>
      <w:r w:rsidR="00875FED" w:rsidRPr="002B0414">
        <w:rPr>
          <w:rFonts w:asciiTheme="minorHAnsi" w:hAnsiTheme="minorHAnsi" w:cstheme="minorHAnsi"/>
          <w:sz w:val="24"/>
          <w:szCs w:val="24"/>
        </w:rPr>
        <w:t xml:space="preserve">, </w:t>
      </w:r>
      <w:r w:rsidRPr="002B0414">
        <w:rPr>
          <w:rFonts w:asciiTheme="minorHAnsi" w:hAnsiTheme="minorHAnsi" w:cstheme="minorHAnsi"/>
          <w:sz w:val="24"/>
          <w:szCs w:val="24"/>
        </w:rPr>
        <w:t>tj. o</w:t>
      </w:r>
      <w:r w:rsidR="00A40007" w:rsidRPr="002B0414">
        <w:rPr>
          <w:rFonts w:asciiTheme="minorHAnsi" w:hAnsiTheme="minorHAnsi" w:cstheme="minorHAnsi"/>
          <w:sz w:val="24"/>
          <w:szCs w:val="24"/>
        </w:rPr>
        <w:t> </w:t>
      </w:r>
      <w:r w:rsidR="009F37FE" w:rsidRPr="002B0414">
        <w:rPr>
          <w:rFonts w:asciiTheme="minorHAnsi" w:hAnsiTheme="minorHAnsi" w:cstheme="minorHAnsi"/>
          <w:sz w:val="24"/>
          <w:szCs w:val="24"/>
        </w:rPr>
        <w:t>0,3</w:t>
      </w:r>
      <w:r w:rsidR="00875FED" w:rsidRPr="002B0414">
        <w:rPr>
          <w:rFonts w:asciiTheme="minorHAnsi" w:hAnsiTheme="minorHAnsi" w:cstheme="minorHAnsi"/>
          <w:sz w:val="24"/>
          <w:szCs w:val="24"/>
        </w:rPr>
        <w:t xml:space="preserve">%. </w:t>
      </w:r>
    </w:p>
    <w:p w14:paraId="4C06581A" w14:textId="57D137F2" w:rsidR="00B109D6" w:rsidRPr="002B0414" w:rsidRDefault="00875FED" w:rsidP="001F13AF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 w:rsidRPr="002B0414">
        <w:rPr>
          <w:rFonts w:asciiTheme="minorHAnsi" w:hAnsiTheme="minorHAnsi" w:cstheme="minorHAnsi"/>
          <w:sz w:val="24"/>
          <w:szCs w:val="24"/>
        </w:rPr>
        <w:t>Szczegółowe</w:t>
      </w:r>
      <w:r w:rsidR="00A40007" w:rsidRPr="002B0414">
        <w:rPr>
          <w:rFonts w:asciiTheme="minorHAnsi" w:hAnsiTheme="minorHAnsi" w:cstheme="minorHAnsi"/>
          <w:sz w:val="24"/>
          <w:szCs w:val="24"/>
        </w:rPr>
        <w:t xml:space="preserve"> dane zawiera</w:t>
      </w:r>
      <w:r w:rsidR="00E32EC3" w:rsidRPr="002B0414">
        <w:rPr>
          <w:rFonts w:asciiTheme="minorHAnsi" w:hAnsiTheme="minorHAnsi" w:cstheme="minorHAnsi"/>
          <w:sz w:val="24"/>
          <w:szCs w:val="24"/>
        </w:rPr>
        <w:t>ją</w:t>
      </w:r>
      <w:r w:rsidR="00A40007" w:rsidRPr="002B0414">
        <w:rPr>
          <w:rFonts w:asciiTheme="minorHAnsi" w:hAnsiTheme="minorHAnsi" w:cstheme="minorHAnsi"/>
          <w:sz w:val="24"/>
          <w:szCs w:val="24"/>
        </w:rPr>
        <w:t xml:space="preserve"> tabel</w:t>
      </w:r>
      <w:r w:rsidR="00E32EC3" w:rsidRPr="002B0414">
        <w:rPr>
          <w:rFonts w:asciiTheme="minorHAnsi" w:hAnsiTheme="minorHAnsi" w:cstheme="minorHAnsi"/>
          <w:sz w:val="24"/>
          <w:szCs w:val="24"/>
        </w:rPr>
        <w:t>e</w:t>
      </w:r>
      <w:r w:rsidR="005D7D0A" w:rsidRPr="002B0414">
        <w:rPr>
          <w:rFonts w:asciiTheme="minorHAnsi" w:hAnsiTheme="minorHAnsi" w:cstheme="minorHAnsi"/>
          <w:sz w:val="24"/>
          <w:szCs w:val="24"/>
        </w:rPr>
        <w:t xml:space="preserve"> </w:t>
      </w:r>
      <w:r w:rsidR="00AE6999">
        <w:rPr>
          <w:rFonts w:asciiTheme="minorHAnsi" w:hAnsiTheme="minorHAnsi" w:cstheme="minorHAnsi"/>
          <w:sz w:val="24"/>
          <w:szCs w:val="24"/>
        </w:rPr>
        <w:t>9-11</w:t>
      </w:r>
      <w:r w:rsidR="00E32EC3" w:rsidRPr="002B0414">
        <w:rPr>
          <w:rFonts w:asciiTheme="minorHAnsi" w:hAnsiTheme="minorHAnsi" w:cstheme="minorHAnsi"/>
          <w:sz w:val="24"/>
          <w:szCs w:val="24"/>
        </w:rPr>
        <w:t>.</w:t>
      </w:r>
    </w:p>
    <w:p w14:paraId="4413B970" w14:textId="77991DAD" w:rsidR="00E32EC3" w:rsidRPr="002B0414" w:rsidRDefault="00E32EC3" w:rsidP="00E32EC3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</w:rPr>
      </w:pPr>
      <w:r w:rsidRPr="002B0414">
        <w:rPr>
          <w:rFonts w:asciiTheme="minorHAnsi" w:hAnsiTheme="minorHAnsi" w:cstheme="minorHAnsi"/>
          <w:i w:val="0"/>
          <w:iCs w:val="0"/>
          <w:color w:val="auto"/>
        </w:rPr>
        <w:t xml:space="preserve">Tabela </w:t>
      </w:r>
      <w:r w:rsidR="00204628" w:rsidRPr="002B0414">
        <w:rPr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204628" w:rsidRPr="002B0414">
        <w:rPr>
          <w:rFonts w:asciiTheme="minorHAnsi" w:hAnsiTheme="minorHAnsi" w:cstheme="minorHAnsi"/>
          <w:i w:val="0"/>
          <w:iCs w:val="0"/>
          <w:color w:val="auto"/>
        </w:rPr>
        <w:instrText xml:space="preserve"> SEQ Tabela \* ARABIC </w:instrText>
      </w:r>
      <w:r w:rsidR="00204628" w:rsidRPr="002B0414">
        <w:rPr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</w:rPr>
        <w:t>9</w:t>
      </w:r>
      <w:r w:rsidR="00204628" w:rsidRPr="002B0414">
        <w:rPr>
          <w:rFonts w:asciiTheme="minorHAnsi" w:hAnsiTheme="minorHAnsi" w:cstheme="minorHAnsi"/>
          <w:i w:val="0"/>
          <w:iCs w:val="0"/>
          <w:noProof/>
          <w:color w:val="auto"/>
        </w:rPr>
        <w:fldChar w:fldCharType="end"/>
      </w:r>
      <w:r w:rsidRPr="002B0414">
        <w:rPr>
          <w:rFonts w:asciiTheme="minorHAnsi" w:hAnsiTheme="minorHAnsi" w:cstheme="minorHAnsi"/>
          <w:i w:val="0"/>
          <w:iCs w:val="0"/>
          <w:color w:val="auto"/>
        </w:rPr>
        <w:t>.</w:t>
      </w:r>
      <w:r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Zatrudnienie w wojewódzkich podmiotach leczniczych w latach 202</w:t>
      </w:r>
      <w:r w:rsidR="008F1EC5"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2</w:t>
      </w:r>
      <w:r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-202</w:t>
      </w:r>
      <w:r w:rsidR="008F1EC5"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3</w:t>
      </w:r>
      <w:r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(w równoważnikach etatów) – część 1</w:t>
      </w:r>
      <w:r w:rsidR="00304E0F"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</w:p>
    <w:tbl>
      <w:tblPr>
        <w:tblW w:w="1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9 Zatrudnienie w wojewódzkich podmiotach leczniczych w latach 2022-2023 (w równoważnikach etatów) – część 1"/>
        <w:tblDescription w:val="Tabela jest podzielona na trzy części i zawiera informacje o stanie zatrudnienia na koniec 2022 roku oraz na koniec 2023 roku, zmianę stanu zatrudnienia dla każdego z podmiotów w podziale na grupy personelu "/>
      </w:tblPr>
      <w:tblGrid>
        <w:gridCol w:w="1194"/>
        <w:gridCol w:w="870"/>
        <w:gridCol w:w="1030"/>
        <w:gridCol w:w="1096"/>
        <w:gridCol w:w="1030"/>
        <w:gridCol w:w="1030"/>
        <w:gridCol w:w="1096"/>
        <w:gridCol w:w="1030"/>
        <w:gridCol w:w="1030"/>
        <w:gridCol w:w="1096"/>
        <w:gridCol w:w="1030"/>
        <w:gridCol w:w="1030"/>
        <w:gridCol w:w="1096"/>
      </w:tblGrid>
      <w:tr w:rsidR="001277F6" w:rsidRPr="008F1EC5" w14:paraId="6FAC5AC1" w14:textId="77777777" w:rsidTr="00871433">
        <w:trPr>
          <w:trHeight w:val="522"/>
        </w:trPr>
        <w:tc>
          <w:tcPr>
            <w:tcW w:w="1271" w:type="dxa"/>
            <w:tcBorders>
              <w:top w:val="nil"/>
              <w:left w:val="nil"/>
            </w:tcBorders>
          </w:tcPr>
          <w:p w14:paraId="7C6FDCBA" w14:textId="77777777" w:rsidR="001277F6" w:rsidRPr="008F1EC5" w:rsidRDefault="001277F6" w:rsidP="008F1E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19" w:type="dxa"/>
            <w:gridSpan w:val="3"/>
            <w:shd w:val="clear" w:color="auto" w:fill="auto"/>
            <w:vAlign w:val="center"/>
            <w:hideMark/>
          </w:tcPr>
          <w:p w14:paraId="129728F0" w14:textId="77777777" w:rsidR="005E0000" w:rsidRDefault="001277F6" w:rsidP="008F1E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Kliniczny Szpital Wojewódzki</w:t>
            </w:r>
          </w:p>
          <w:p w14:paraId="3915B499" w14:textId="3E13A469" w:rsidR="001277F6" w:rsidRPr="008F1EC5" w:rsidRDefault="001277F6" w:rsidP="008F1E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Nr 2 im. Św. Jadwigi Królowej </w:t>
            </w: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w Rzeszowie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  <w:hideMark/>
          </w:tcPr>
          <w:p w14:paraId="4F425069" w14:textId="77777777" w:rsidR="005E0000" w:rsidRDefault="001277F6" w:rsidP="008F1E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Wojewódzki Szpital Podkarpacki </w:t>
            </w:r>
          </w:p>
          <w:p w14:paraId="10BE21D5" w14:textId="414355E0" w:rsidR="001277F6" w:rsidRPr="008F1EC5" w:rsidRDefault="001277F6" w:rsidP="008F1E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im. Jana Pawła II w Krośnie 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  <w:hideMark/>
          </w:tcPr>
          <w:p w14:paraId="6924B075" w14:textId="3429C3A5" w:rsidR="001277F6" w:rsidRPr="008F1EC5" w:rsidRDefault="001277F6" w:rsidP="008F1E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Szpital im. Św. Ojca Pio w</w:t>
            </w:r>
            <w:r w:rsidR="005E0000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Przemyślu </w:t>
            </w:r>
          </w:p>
        </w:tc>
        <w:tc>
          <w:tcPr>
            <w:tcW w:w="3156" w:type="dxa"/>
            <w:gridSpan w:val="3"/>
            <w:shd w:val="clear" w:color="auto" w:fill="auto"/>
            <w:vAlign w:val="center"/>
            <w:hideMark/>
          </w:tcPr>
          <w:p w14:paraId="3F926EAB" w14:textId="77777777" w:rsidR="001277F6" w:rsidRPr="008F1EC5" w:rsidRDefault="001277F6" w:rsidP="008F1EC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Wojewódzki Szpital im. Zofii </w:t>
            </w: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z Zamoyskich Tarnowskiej </w:t>
            </w: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br/>
              <w:t>w Tarnobrzegu</w:t>
            </w:r>
          </w:p>
        </w:tc>
      </w:tr>
      <w:tr w:rsidR="001277F6" w:rsidRPr="008F1EC5" w14:paraId="38F30030" w14:textId="77777777" w:rsidTr="0089374B">
        <w:trPr>
          <w:trHeight w:val="522"/>
        </w:trPr>
        <w:tc>
          <w:tcPr>
            <w:tcW w:w="1271" w:type="dxa"/>
            <w:vAlign w:val="center"/>
          </w:tcPr>
          <w:p w14:paraId="76B6842D" w14:textId="0A2B0BD8" w:rsidR="001277F6" w:rsidRPr="008F1EC5" w:rsidRDefault="001277F6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Nazwa grupy personelu</w:t>
            </w:r>
          </w:p>
        </w:tc>
        <w:tc>
          <w:tcPr>
            <w:tcW w:w="793" w:type="dxa"/>
            <w:shd w:val="clear" w:color="auto" w:fill="auto"/>
            <w:vAlign w:val="center"/>
            <w:hideMark/>
          </w:tcPr>
          <w:p w14:paraId="422286A3" w14:textId="6A73C76D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4194040A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666BD1E4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516004FF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6BAC9D6D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582042ED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68B46054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6AE0555F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3B381C11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72998A12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14:paraId="0752C2D6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14:paraId="0D094D9C" w14:textId="7777777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</w:tr>
      <w:tr w:rsidR="001277F6" w:rsidRPr="008F1EC5" w14:paraId="6A6C2CD6" w14:textId="77777777" w:rsidTr="001277F6">
        <w:trPr>
          <w:trHeight w:val="522"/>
        </w:trPr>
        <w:tc>
          <w:tcPr>
            <w:tcW w:w="1271" w:type="dxa"/>
          </w:tcPr>
          <w:p w14:paraId="4D9243F2" w14:textId="77777777" w:rsidR="001277F6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Wyższy personel medyczny, </w:t>
            </w:r>
          </w:p>
          <w:p w14:paraId="4CD12499" w14:textId="006C15F0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D5AF2D9" w14:textId="52F99B8C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694,2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5235EA1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704,37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8F1FA44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10,17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61AC9E3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234,467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CBFD25F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233,107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F6563D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-1,36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6571FD3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435,70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76CCE4D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430,22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332222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-5,48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8B15B19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119,90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700CBE2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113,89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49A9C54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-6,01</w:t>
            </w:r>
          </w:p>
        </w:tc>
      </w:tr>
      <w:tr w:rsidR="001277F6" w:rsidRPr="008F1EC5" w14:paraId="59544789" w14:textId="77777777" w:rsidTr="001277F6">
        <w:trPr>
          <w:trHeight w:val="522"/>
        </w:trPr>
        <w:tc>
          <w:tcPr>
            <w:tcW w:w="1271" w:type="dxa"/>
          </w:tcPr>
          <w:p w14:paraId="270FE814" w14:textId="77777777" w:rsidR="001277F6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Lekarze</w:t>
            </w:r>
          </w:p>
          <w:p w14:paraId="48D6FC9F" w14:textId="77777777" w:rsidR="001277F6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(z wyłączeniem stażystów </w:t>
            </w:r>
          </w:p>
          <w:p w14:paraId="5A3EB21A" w14:textId="28470D53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i rezydentów)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5301045A" w14:textId="0E75DA2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329,96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910DF23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337,78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474D37E0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7,82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865775F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134,47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7A16009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134,41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EE2218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-0,06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E9ED0FB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311,51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DC3F3FE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306,44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7423B4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-5,07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F8A6E5B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71,65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CB87B37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67,83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C5BD056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-3,82</w:t>
            </w:r>
          </w:p>
        </w:tc>
      </w:tr>
      <w:tr w:rsidR="001277F6" w:rsidRPr="008F1EC5" w14:paraId="20AFE38F" w14:textId="77777777" w:rsidTr="001277F6">
        <w:trPr>
          <w:trHeight w:val="522"/>
        </w:trPr>
        <w:tc>
          <w:tcPr>
            <w:tcW w:w="1271" w:type="dxa"/>
          </w:tcPr>
          <w:p w14:paraId="57FC4399" w14:textId="77777777" w:rsidR="001277F6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Średni personel medyczny,</w:t>
            </w:r>
          </w:p>
          <w:p w14:paraId="63D99143" w14:textId="7AA646EF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w tym: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14939E0" w14:textId="32438888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1387,44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13DF774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1389,69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4AF602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2,25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3CC6E8A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726,37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4B9665F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731,54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7991F5F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5,17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8553B01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863,40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8C577BF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849,85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A8FA0D2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-13,55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319683D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485,83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0C0BEBA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456,43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D61EC38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-29,40</w:t>
            </w:r>
          </w:p>
        </w:tc>
      </w:tr>
      <w:tr w:rsidR="001277F6" w:rsidRPr="008F1EC5" w14:paraId="341B5562" w14:textId="77777777" w:rsidTr="001277F6">
        <w:trPr>
          <w:trHeight w:val="522"/>
        </w:trPr>
        <w:tc>
          <w:tcPr>
            <w:tcW w:w="1271" w:type="dxa"/>
          </w:tcPr>
          <w:p w14:paraId="156A6FB4" w14:textId="77777777" w:rsidR="001277F6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Pielęgniarki</w:t>
            </w:r>
          </w:p>
          <w:p w14:paraId="0E38F695" w14:textId="03BA1954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 i położne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6B995CE" w14:textId="2CA69899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1042,54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8B4C3CB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1045,54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9C83948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14A66A3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558,49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E5028D8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559,34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43BD810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0,85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6DC9F60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642,90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8DAFD3D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632,30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432056C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-10,60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7E06C829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374,60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539DB7B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348,10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7A5F0FF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-26,50</w:t>
            </w:r>
          </w:p>
        </w:tc>
      </w:tr>
      <w:tr w:rsidR="001277F6" w:rsidRPr="008F1EC5" w14:paraId="2577FFEA" w14:textId="77777777" w:rsidTr="001277F6">
        <w:trPr>
          <w:trHeight w:val="522"/>
        </w:trPr>
        <w:tc>
          <w:tcPr>
            <w:tcW w:w="1271" w:type="dxa"/>
          </w:tcPr>
          <w:p w14:paraId="6E470592" w14:textId="2F639BAF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Niższy personel medyczny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17A75610" w14:textId="3A58732B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26,00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99D65E7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65B0A55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-2,00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DA860A8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F90D795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2AB6511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4511345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15,00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55D0C98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B8E47B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922248B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75,50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DE0A483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71,00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3E142263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-4,50</w:t>
            </w:r>
          </w:p>
        </w:tc>
      </w:tr>
      <w:tr w:rsidR="001277F6" w:rsidRPr="008F1EC5" w14:paraId="73EEB509" w14:textId="77777777" w:rsidTr="001277F6">
        <w:trPr>
          <w:trHeight w:val="522"/>
        </w:trPr>
        <w:tc>
          <w:tcPr>
            <w:tcW w:w="1271" w:type="dxa"/>
          </w:tcPr>
          <w:p w14:paraId="1352E5ED" w14:textId="77777777" w:rsidR="001277F6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Administracja </w:t>
            </w:r>
          </w:p>
          <w:p w14:paraId="60FE047A" w14:textId="2F4C0B1B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i personel niemedyczny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07A18695" w14:textId="35ADA0C9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91,73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AB4BC0C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100,73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29F01DB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917252C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77,46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7F9D110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70,96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5D648FA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-6,50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8BA6375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101,51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18641AB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103,56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691FF81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2,05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A03F586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52,75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4EEBA3E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52,75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656BCEF0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1277F6" w:rsidRPr="008F1EC5" w14:paraId="14742914" w14:textId="77777777" w:rsidTr="001277F6">
        <w:trPr>
          <w:trHeight w:val="522"/>
        </w:trPr>
        <w:tc>
          <w:tcPr>
            <w:tcW w:w="1271" w:type="dxa"/>
          </w:tcPr>
          <w:p w14:paraId="5D3FA959" w14:textId="77777777" w:rsidR="001277F6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Personel techniczny, gospodarczy </w:t>
            </w:r>
          </w:p>
          <w:p w14:paraId="4303FB59" w14:textId="6E4B63C7" w:rsidR="001277F6" w:rsidRPr="008F1EC5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i obsługi niemedyczny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27A41108" w14:textId="0BFEA4C6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298,00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C2E35FF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285,00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3DA6C86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-13,00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1D82384F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234,00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7B6EA45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232,00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2F461C0E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-2,00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FAF0766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257,13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8BBA460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232,50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9DEC4B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-24,63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27E9E90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49,35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E95BF52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49,25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01D99D4C" w14:textId="77777777" w:rsidR="001277F6" w:rsidRPr="008F1EC5" w:rsidRDefault="001277F6" w:rsidP="001277F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-0,10</w:t>
            </w:r>
          </w:p>
        </w:tc>
      </w:tr>
      <w:tr w:rsidR="001277F6" w:rsidRPr="008F1EC5" w14:paraId="26598E9F" w14:textId="77777777" w:rsidTr="003B4A94">
        <w:trPr>
          <w:trHeight w:val="522"/>
        </w:trPr>
        <w:tc>
          <w:tcPr>
            <w:tcW w:w="1271" w:type="dxa"/>
            <w:vAlign w:val="center"/>
          </w:tcPr>
          <w:p w14:paraId="2A6249F1" w14:textId="29B092F5" w:rsidR="001277F6" w:rsidRPr="001277F6" w:rsidRDefault="001277F6" w:rsidP="001277F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93" w:type="dxa"/>
            <w:shd w:val="clear" w:color="auto" w:fill="auto"/>
            <w:noWrap/>
            <w:vAlign w:val="center"/>
            <w:hideMark/>
          </w:tcPr>
          <w:p w14:paraId="4758AE26" w14:textId="0ACE60C0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2 497,37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301DB608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2 503,79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7EDD1CA8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6,42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03A14B60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1 291,30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5DD55C8B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1 288,61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D4C22F3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-2,69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4CE5B80B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1 672,74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23D249D3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1 633,13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5566F699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-39,61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A0F2857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783,33</w:t>
            </w:r>
          </w:p>
        </w:tc>
        <w:tc>
          <w:tcPr>
            <w:tcW w:w="1030" w:type="dxa"/>
            <w:shd w:val="clear" w:color="auto" w:fill="auto"/>
            <w:noWrap/>
            <w:vAlign w:val="center"/>
            <w:hideMark/>
          </w:tcPr>
          <w:p w14:paraId="628B8CDC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743,32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14:paraId="1EA7CC69" w14:textId="77777777" w:rsidR="001277F6" w:rsidRPr="008F1EC5" w:rsidRDefault="001277F6" w:rsidP="003B4A94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F1EC5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-40,01</w:t>
            </w:r>
          </w:p>
        </w:tc>
      </w:tr>
    </w:tbl>
    <w:p w14:paraId="3853D769" w14:textId="12EEBBD3" w:rsidR="00E55718" w:rsidRPr="009D03BD" w:rsidRDefault="005D7D0A" w:rsidP="002B0414">
      <w:pPr>
        <w:spacing w:before="120" w:after="0"/>
        <w:jc w:val="both"/>
        <w:rPr>
          <w:rFonts w:asciiTheme="minorHAnsi" w:hAnsiTheme="minorHAnsi" w:cstheme="minorHAnsi"/>
          <w:highlight w:val="yellow"/>
        </w:rPr>
      </w:pPr>
      <w:r w:rsidRPr="002B0414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037BAE97" w14:textId="77777777" w:rsidR="00E55718" w:rsidRPr="009D03BD" w:rsidRDefault="00E55718" w:rsidP="003B0FDE">
      <w:pPr>
        <w:rPr>
          <w:rFonts w:asciiTheme="minorHAnsi" w:hAnsiTheme="minorHAnsi" w:cstheme="minorHAnsi"/>
          <w:highlight w:val="yellow"/>
        </w:rPr>
        <w:sectPr w:rsidR="00E55718" w:rsidRPr="009D03BD" w:rsidSect="003F4DAE">
          <w:pgSz w:w="16838" w:h="11906" w:orient="landscape"/>
          <w:pgMar w:top="993" w:right="1418" w:bottom="1418" w:left="1418" w:header="709" w:footer="709" w:gutter="0"/>
          <w:cols w:space="708"/>
          <w:docGrid w:linePitch="360"/>
        </w:sectPr>
      </w:pPr>
    </w:p>
    <w:p w14:paraId="5078DAA7" w14:textId="03803911" w:rsidR="00E32EC3" w:rsidRPr="002B0414" w:rsidRDefault="00E32EC3" w:rsidP="00E32EC3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lastRenderedPageBreak/>
        <w:t xml:space="preserve">Tabela </w:t>
      </w:r>
      <w:r w:rsidR="00204628"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10</w:t>
      </w:r>
      <w:r w:rsidR="00204628" w:rsidRPr="002B0414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 Zatrudnienie w wojewódzkich podmiotach leczniczych w latach 202</w:t>
      </w:r>
      <w:r w:rsidR="002B0414"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2</w:t>
      </w:r>
      <w:r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-202</w:t>
      </w:r>
      <w:r w:rsidR="002B0414"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3</w:t>
      </w:r>
      <w:r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(w równoważnikach etatów) – część 2</w:t>
      </w:r>
      <w:r w:rsidR="00304E0F" w:rsidRPr="002B0414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</w:p>
    <w:tbl>
      <w:tblPr>
        <w:tblW w:w="14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0  Zatrudnienie w wojewódzkich podmiotach leczniczych w latach 2022-2023 (w równoważnikach etatów) – część 2"/>
        <w:tblDescription w:val="Tabela jest podzielona na trzy części i zawiera informacje o stanie zatrudnienia na koniec 2022 roku oraz na koniec 2023 roku, zmianę stanu zatrudnienia dla każdego z podmiotów w podziale na grupy personelu "/>
      </w:tblPr>
      <w:tblGrid>
        <w:gridCol w:w="184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2B0414" w:rsidRPr="002B0414" w14:paraId="07BC6F31" w14:textId="77777777" w:rsidTr="00871433">
        <w:trPr>
          <w:trHeight w:val="907"/>
        </w:trPr>
        <w:tc>
          <w:tcPr>
            <w:tcW w:w="184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E660DD8" w14:textId="77777777" w:rsidR="002B0414" w:rsidRPr="002B0414" w:rsidRDefault="002B0414" w:rsidP="002B0414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5C2E10ED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Specjalistyczny Psychiatryczny Zespół Opieki Zdrowotnej im. prof. A. Kępińskiego w Jarosławiu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6E4C3EDE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Podkarpacki Szpital Psychiatryczny im. prof. Eugeniusza Brzezickiego w Żurawicy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648291AC" w14:textId="77777777" w:rsidR="00630ED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Ośrodek Terapii Uzależnień</w:t>
            </w:r>
          </w:p>
          <w:p w14:paraId="7E14C4A1" w14:textId="1C4D820B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w Rzeszowie</w:t>
            </w:r>
          </w:p>
        </w:tc>
        <w:tc>
          <w:tcPr>
            <w:tcW w:w="3060" w:type="dxa"/>
            <w:gridSpan w:val="3"/>
            <w:shd w:val="clear" w:color="auto" w:fill="auto"/>
            <w:vAlign w:val="center"/>
            <w:hideMark/>
          </w:tcPr>
          <w:p w14:paraId="34E7BE81" w14:textId="77777777" w:rsidR="00630ED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Ośrodek Terapii Uzależnień</w:t>
            </w:r>
          </w:p>
          <w:p w14:paraId="1CD04104" w14:textId="77777777" w:rsidR="00630ED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od Alkoholu i Współuzależnienia</w:t>
            </w:r>
          </w:p>
          <w:p w14:paraId="7DC84999" w14:textId="39842019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w Stalowej Woli</w:t>
            </w:r>
          </w:p>
        </w:tc>
      </w:tr>
      <w:tr w:rsidR="002B0414" w:rsidRPr="002B0414" w14:paraId="2438DB8D" w14:textId="77777777" w:rsidTr="00630ED4">
        <w:trPr>
          <w:trHeight w:val="850"/>
        </w:trPr>
        <w:tc>
          <w:tcPr>
            <w:tcW w:w="1840" w:type="dxa"/>
            <w:shd w:val="clear" w:color="auto" w:fill="auto"/>
            <w:vAlign w:val="center"/>
            <w:hideMark/>
          </w:tcPr>
          <w:p w14:paraId="630260F9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grupy personelu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D4F16CE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E2AE1B0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E20D25D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6C3300D1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BB33341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4C24305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B91DAC7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582D478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71DC0B4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B76B3AC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3D7B81C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25BECFDB" w14:textId="77777777" w:rsidR="002B0414" w:rsidRPr="002B0414" w:rsidRDefault="002B0414" w:rsidP="002B041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</w:tr>
      <w:tr w:rsidR="0089374B" w:rsidRPr="002B0414" w14:paraId="32A88529" w14:textId="77777777" w:rsidTr="00CA35C1">
        <w:trPr>
          <w:trHeight w:val="794"/>
        </w:trPr>
        <w:tc>
          <w:tcPr>
            <w:tcW w:w="1840" w:type="dxa"/>
            <w:shd w:val="clear" w:color="auto" w:fill="auto"/>
            <w:vAlign w:val="center"/>
            <w:hideMark/>
          </w:tcPr>
          <w:p w14:paraId="2D371647" w14:textId="23D2F79A" w:rsidR="0089374B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Wyższy personel medyczny,</w:t>
            </w:r>
          </w:p>
          <w:p w14:paraId="344B85A4" w14:textId="355E5C50" w:rsidR="0089374B" w:rsidRPr="002B0414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52C11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82,58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1C75BE4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82,43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1CF1F4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-0,15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7AD2F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52,70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7FD1A56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56,00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E83AC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237634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E7A6C2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11,50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94D888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43BF9B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16,18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81A9438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16,18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EB50C5F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9374B" w:rsidRPr="002B0414" w14:paraId="1478A566" w14:textId="77777777" w:rsidTr="00CA35C1">
        <w:trPr>
          <w:trHeight w:val="794"/>
        </w:trPr>
        <w:tc>
          <w:tcPr>
            <w:tcW w:w="1840" w:type="dxa"/>
            <w:shd w:val="clear" w:color="auto" w:fill="auto"/>
            <w:vAlign w:val="center"/>
            <w:hideMark/>
          </w:tcPr>
          <w:p w14:paraId="572F52C5" w14:textId="77777777" w:rsidR="0089374B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Lekarze</w:t>
            </w:r>
          </w:p>
          <w:p w14:paraId="4D874102" w14:textId="7288252D" w:rsidR="0089374B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(z wyłączeniem stażystów</w:t>
            </w:r>
          </w:p>
          <w:p w14:paraId="0609380F" w14:textId="58D5D15A" w:rsidR="0089374B" w:rsidRPr="002B0414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i rezydentów)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AB859D6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24,39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D5B3E08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25,40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67AA33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1,01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3F9329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16,00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A163F9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25,40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29360CC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9,40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F54821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EDCE18B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AC57D3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5629529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200ED1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8941864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9374B" w:rsidRPr="002B0414" w14:paraId="50ED6872" w14:textId="77777777" w:rsidTr="00CA35C1">
        <w:trPr>
          <w:trHeight w:val="794"/>
        </w:trPr>
        <w:tc>
          <w:tcPr>
            <w:tcW w:w="1840" w:type="dxa"/>
            <w:shd w:val="clear" w:color="auto" w:fill="auto"/>
            <w:vAlign w:val="center"/>
            <w:hideMark/>
          </w:tcPr>
          <w:p w14:paraId="67D8429A" w14:textId="77777777" w:rsidR="0089374B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Średni personel medyczny,</w:t>
            </w:r>
          </w:p>
          <w:p w14:paraId="736DF133" w14:textId="6C072D73" w:rsidR="0089374B" w:rsidRPr="002B0414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BCB25B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246,20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B73B960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249,31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19B5910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3,11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B495B2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113,75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DDFDA87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108,88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FCF5977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-4,87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0A7FDB3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7BCA333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ACDE061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259EA9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5,15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944A6CB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5,15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9BF74B7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9374B" w:rsidRPr="002B0414" w14:paraId="068C4453" w14:textId="77777777" w:rsidTr="00CA35C1">
        <w:trPr>
          <w:trHeight w:val="794"/>
        </w:trPr>
        <w:tc>
          <w:tcPr>
            <w:tcW w:w="1840" w:type="dxa"/>
            <w:shd w:val="clear" w:color="auto" w:fill="auto"/>
            <w:vAlign w:val="center"/>
            <w:hideMark/>
          </w:tcPr>
          <w:p w14:paraId="5DEE951A" w14:textId="77777777" w:rsidR="0089374B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Pielęgniarki</w:t>
            </w:r>
          </w:p>
          <w:p w14:paraId="3ECCC0B2" w14:textId="6A678997" w:rsidR="0089374B" w:rsidRPr="002B0414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i położne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00939F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173,80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D028A23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348,10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57A116B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174,30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6FB1242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79,50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F8466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173,96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B1510E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94,46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87F610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BAF6D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49C0B51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16AF646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F7698B8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3CDBB04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9374B" w:rsidRPr="002B0414" w14:paraId="4DB31189" w14:textId="77777777" w:rsidTr="00CA35C1">
        <w:trPr>
          <w:trHeight w:val="794"/>
        </w:trPr>
        <w:tc>
          <w:tcPr>
            <w:tcW w:w="1840" w:type="dxa"/>
            <w:shd w:val="clear" w:color="auto" w:fill="auto"/>
            <w:vAlign w:val="center"/>
            <w:hideMark/>
          </w:tcPr>
          <w:p w14:paraId="4E25DCA6" w14:textId="3BF7959F" w:rsidR="0089374B" w:rsidRPr="002B0414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Niższy personel medyczny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D8EA47F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496DF6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124,00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00C375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FB37DD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3F053C9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48,75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5CB3152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-1,25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2F2FCE76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8105D22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6D1BA2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6DEDA49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E68E8E1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9BAC8B8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89374B" w:rsidRPr="002B0414" w14:paraId="5303CDA4" w14:textId="77777777" w:rsidTr="00CA35C1">
        <w:trPr>
          <w:trHeight w:val="794"/>
        </w:trPr>
        <w:tc>
          <w:tcPr>
            <w:tcW w:w="1840" w:type="dxa"/>
            <w:shd w:val="clear" w:color="auto" w:fill="auto"/>
            <w:vAlign w:val="center"/>
            <w:hideMark/>
          </w:tcPr>
          <w:p w14:paraId="6F596058" w14:textId="21164697" w:rsidR="0089374B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Administracja</w:t>
            </w:r>
          </w:p>
          <w:p w14:paraId="69B494AD" w14:textId="52D1FCD7" w:rsidR="0089374B" w:rsidRPr="002B0414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i personel niemedyczny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FB89DDE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35,63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88D3280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38,63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BD74512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C81A50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29,75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4A496B8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32,75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36EBE1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B040B2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52DA1AC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2A04C00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A909A68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8804BB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CE68833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9374B" w:rsidRPr="002B0414" w14:paraId="3432125F" w14:textId="77777777" w:rsidTr="00CA35C1">
        <w:trPr>
          <w:trHeight w:val="794"/>
        </w:trPr>
        <w:tc>
          <w:tcPr>
            <w:tcW w:w="1840" w:type="dxa"/>
            <w:shd w:val="clear" w:color="auto" w:fill="auto"/>
            <w:vAlign w:val="center"/>
            <w:hideMark/>
          </w:tcPr>
          <w:p w14:paraId="3C93E380" w14:textId="6E9ED56F" w:rsidR="0089374B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Personel techniczny, gospodarczy</w:t>
            </w:r>
          </w:p>
          <w:p w14:paraId="53F4E07F" w14:textId="108B820A" w:rsidR="0089374B" w:rsidRPr="002B0414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i obsługi niemedyczny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45552C2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70,15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54C887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74,15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79D93D2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33CC2A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D04083C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EBCCCE6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0D6B00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9CE9180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4B0C5AD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C9C402A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1563537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344746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9374B" w:rsidRPr="002B0414" w14:paraId="39B15466" w14:textId="77777777" w:rsidTr="00CA35C1">
        <w:trPr>
          <w:trHeight w:val="510"/>
        </w:trPr>
        <w:tc>
          <w:tcPr>
            <w:tcW w:w="1840" w:type="dxa"/>
            <w:shd w:val="clear" w:color="auto" w:fill="auto"/>
            <w:vAlign w:val="center"/>
            <w:hideMark/>
          </w:tcPr>
          <w:p w14:paraId="7FF78B84" w14:textId="072EA740" w:rsidR="0089374B" w:rsidRPr="002B0414" w:rsidRDefault="0089374B" w:rsidP="0089374B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277F6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6B05252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554,55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4552E7EF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568,51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189894FE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13,96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0988D98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270,20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7CD855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270,38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3B842619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0,18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57B6522A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17,00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87B013C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17,25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71EB0474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0,25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016D60B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30,33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671E403B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31,33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14:paraId="0E930847" w14:textId="77777777" w:rsidR="0089374B" w:rsidRPr="002B0414" w:rsidRDefault="0089374B" w:rsidP="0089374B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2B0414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</w:tbl>
    <w:p w14:paraId="6F4516EE" w14:textId="4752658D" w:rsidR="005D7D0A" w:rsidRPr="002B0414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2B0414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68E6E82C" w14:textId="77777777" w:rsidR="002B0414" w:rsidRDefault="002B0414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3BEB801" w14:textId="77777777" w:rsidR="002B0414" w:rsidRPr="009D03BD" w:rsidRDefault="002B0414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429B72E2" w14:textId="77777777" w:rsidR="00E55718" w:rsidRPr="009D03BD" w:rsidRDefault="00E55718" w:rsidP="00E55718">
      <w:pPr>
        <w:spacing w:after="0"/>
        <w:rPr>
          <w:rFonts w:asciiTheme="minorHAnsi" w:hAnsiTheme="minorHAnsi" w:cstheme="minorHAnsi"/>
          <w:highlight w:val="yellow"/>
        </w:rPr>
      </w:pPr>
    </w:p>
    <w:p w14:paraId="43A7BA2B" w14:textId="6C906013" w:rsidR="00E32EC3" w:rsidRPr="000125D3" w:rsidRDefault="00E32EC3" w:rsidP="00E32EC3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</w:rPr>
      </w:pPr>
      <w:r w:rsidRPr="000125D3">
        <w:rPr>
          <w:rFonts w:asciiTheme="minorHAnsi" w:hAnsiTheme="minorHAnsi" w:cstheme="minorHAnsi"/>
          <w:i w:val="0"/>
          <w:iCs w:val="0"/>
          <w:color w:val="auto"/>
        </w:rPr>
        <w:t xml:space="preserve">Tabela </w:t>
      </w:r>
      <w:r w:rsidR="00204628" w:rsidRPr="000125D3">
        <w:rPr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204628" w:rsidRPr="000125D3">
        <w:rPr>
          <w:rFonts w:asciiTheme="minorHAnsi" w:hAnsiTheme="minorHAnsi" w:cstheme="minorHAnsi"/>
          <w:i w:val="0"/>
          <w:iCs w:val="0"/>
          <w:color w:val="auto"/>
        </w:rPr>
        <w:instrText xml:space="preserve"> SEQ Tabela \* ARABIC </w:instrText>
      </w:r>
      <w:r w:rsidR="00204628" w:rsidRPr="000125D3">
        <w:rPr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</w:rPr>
        <w:t>11</w:t>
      </w:r>
      <w:r w:rsidR="00204628" w:rsidRPr="000125D3">
        <w:rPr>
          <w:rFonts w:asciiTheme="minorHAnsi" w:hAnsiTheme="minorHAnsi" w:cstheme="minorHAnsi"/>
          <w:i w:val="0"/>
          <w:iCs w:val="0"/>
          <w:noProof/>
          <w:color w:val="auto"/>
        </w:rPr>
        <w:fldChar w:fldCharType="end"/>
      </w:r>
      <w:r w:rsidRPr="000125D3">
        <w:rPr>
          <w:rFonts w:asciiTheme="minorHAnsi" w:hAnsiTheme="minorHAnsi" w:cstheme="minorHAnsi"/>
          <w:i w:val="0"/>
          <w:iCs w:val="0"/>
          <w:color w:val="auto"/>
        </w:rPr>
        <w:t>. Zatrudnienie w wojewódzkich podmiotach leczniczych w latach 202</w:t>
      </w:r>
      <w:r w:rsidR="0089374B" w:rsidRPr="000125D3">
        <w:rPr>
          <w:rFonts w:asciiTheme="minorHAnsi" w:hAnsiTheme="minorHAnsi" w:cstheme="minorHAnsi"/>
          <w:i w:val="0"/>
          <w:iCs w:val="0"/>
          <w:color w:val="auto"/>
        </w:rPr>
        <w:t>2</w:t>
      </w:r>
      <w:r w:rsidRPr="000125D3">
        <w:rPr>
          <w:rFonts w:asciiTheme="minorHAnsi" w:hAnsiTheme="minorHAnsi" w:cstheme="minorHAnsi"/>
          <w:i w:val="0"/>
          <w:iCs w:val="0"/>
          <w:color w:val="auto"/>
        </w:rPr>
        <w:t>-202</w:t>
      </w:r>
      <w:r w:rsidR="0089374B" w:rsidRPr="000125D3">
        <w:rPr>
          <w:rFonts w:asciiTheme="minorHAnsi" w:hAnsiTheme="minorHAnsi" w:cstheme="minorHAnsi"/>
          <w:i w:val="0"/>
          <w:iCs w:val="0"/>
          <w:color w:val="auto"/>
        </w:rPr>
        <w:t>3</w:t>
      </w:r>
      <w:r w:rsidRPr="000125D3">
        <w:rPr>
          <w:rFonts w:asciiTheme="minorHAnsi" w:hAnsiTheme="minorHAnsi" w:cstheme="minorHAnsi"/>
          <w:i w:val="0"/>
          <w:iCs w:val="0"/>
          <w:color w:val="auto"/>
        </w:rPr>
        <w:t xml:space="preserve"> (w równoważnikach etatów) – część 3</w:t>
      </w:r>
      <w:r w:rsidR="00304E0F" w:rsidRPr="000125D3">
        <w:rPr>
          <w:rFonts w:asciiTheme="minorHAnsi" w:hAnsiTheme="minorHAnsi" w:cstheme="minorHAnsi"/>
          <w:i w:val="0"/>
          <w:iCs w:val="0"/>
          <w:color w:val="auto"/>
        </w:rPr>
        <w:t>.</w:t>
      </w:r>
    </w:p>
    <w:tbl>
      <w:tblPr>
        <w:tblW w:w="1521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1  Zatrudnienie w wojewódzkich podmiotach leczniczych w latach 2022-2023 (w równoważnikach etatów) – część 3"/>
        <w:tblDescription w:val="Tabela jest podzielona na trzy części i zawiera informacje o stanie zatrudnienia na koniec 2022 roku oraz na koniec 2023 roku, zmianę stanu zatrudnienia dla każdego z podmiotów w podziale na grupy personelu "/>
      </w:tblPr>
      <w:tblGrid>
        <w:gridCol w:w="1070"/>
        <w:gridCol w:w="936"/>
        <w:gridCol w:w="936"/>
        <w:gridCol w:w="956"/>
        <w:gridCol w:w="936"/>
        <w:gridCol w:w="936"/>
        <w:gridCol w:w="956"/>
        <w:gridCol w:w="936"/>
        <w:gridCol w:w="936"/>
        <w:gridCol w:w="956"/>
        <w:gridCol w:w="936"/>
        <w:gridCol w:w="936"/>
        <w:gridCol w:w="956"/>
        <w:gridCol w:w="936"/>
        <w:gridCol w:w="936"/>
        <w:gridCol w:w="956"/>
      </w:tblGrid>
      <w:tr w:rsidR="00871433" w:rsidRPr="00871433" w14:paraId="10BC9A34" w14:textId="77777777" w:rsidTr="00871433">
        <w:trPr>
          <w:trHeight w:val="290"/>
        </w:trPr>
        <w:tc>
          <w:tcPr>
            <w:tcW w:w="107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2A5990DC" w14:textId="77777777" w:rsidR="00871433" w:rsidRPr="00871433" w:rsidRDefault="00871433" w:rsidP="00871433">
            <w:pPr>
              <w:spacing w:after="0" w:line="240" w:lineRule="auto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</w:p>
        </w:tc>
        <w:tc>
          <w:tcPr>
            <w:tcW w:w="2828" w:type="dxa"/>
            <w:gridSpan w:val="3"/>
            <w:shd w:val="clear" w:color="auto" w:fill="auto"/>
            <w:vAlign w:val="center"/>
            <w:hideMark/>
          </w:tcPr>
          <w:p w14:paraId="491701FE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Zespół Specjalistyczny w Rzeszowie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  <w:hideMark/>
          </w:tcPr>
          <w:p w14:paraId="12B43E59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Wojewódzki Ośrodek Medycyny Pracy w Rzeszowie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  <w:hideMark/>
          </w:tcPr>
          <w:p w14:paraId="27C8A457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Podkarpackie Centrum Medyczne w Rzeszowie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  <w:hideMark/>
          </w:tcPr>
          <w:p w14:paraId="5755666F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Wojewódzka Stacja Pogotowia Ratunkowego w Rzeszowie</w:t>
            </w:r>
          </w:p>
        </w:tc>
        <w:tc>
          <w:tcPr>
            <w:tcW w:w="2828" w:type="dxa"/>
            <w:gridSpan w:val="3"/>
            <w:shd w:val="clear" w:color="auto" w:fill="auto"/>
            <w:vAlign w:val="center"/>
            <w:hideMark/>
          </w:tcPr>
          <w:p w14:paraId="02479F72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Wojewódzka Stacja Pogotowia Ratunkowego w Przemyślu SP ZOZ</w:t>
            </w:r>
          </w:p>
        </w:tc>
      </w:tr>
      <w:tr w:rsidR="00871433" w:rsidRPr="00871433" w14:paraId="6ED75C02" w14:textId="77777777" w:rsidTr="00871433">
        <w:trPr>
          <w:trHeight w:val="630"/>
        </w:trPr>
        <w:tc>
          <w:tcPr>
            <w:tcW w:w="1070" w:type="dxa"/>
            <w:shd w:val="clear" w:color="auto" w:fill="auto"/>
            <w:vAlign w:val="center"/>
            <w:hideMark/>
          </w:tcPr>
          <w:p w14:paraId="2E7482CD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Nazwa grupy personelu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6CACF02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D746613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257CEBC1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46D008A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24BA752B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202DAD98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136951D3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4A74C892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7D3F565D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01E11903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338938DF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32578002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61D691A9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31.12.2022</w:t>
            </w:r>
          </w:p>
        </w:tc>
        <w:tc>
          <w:tcPr>
            <w:tcW w:w="936" w:type="dxa"/>
            <w:shd w:val="clear" w:color="auto" w:fill="auto"/>
            <w:vAlign w:val="center"/>
            <w:hideMark/>
          </w:tcPr>
          <w:p w14:paraId="7F9EDE6D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stan na 31.12.2023</w:t>
            </w:r>
          </w:p>
        </w:tc>
        <w:tc>
          <w:tcPr>
            <w:tcW w:w="956" w:type="dxa"/>
            <w:shd w:val="clear" w:color="auto" w:fill="auto"/>
            <w:vAlign w:val="center"/>
            <w:hideMark/>
          </w:tcPr>
          <w:p w14:paraId="0CC7FA3B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 xml:space="preserve">zmiana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 xml:space="preserve">stanu </w:t>
            </w: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br/>
              <w:t>zatrudnienia</w:t>
            </w:r>
          </w:p>
        </w:tc>
      </w:tr>
      <w:tr w:rsidR="00871433" w:rsidRPr="00871433" w14:paraId="677CBC80" w14:textId="77777777" w:rsidTr="00871433">
        <w:trPr>
          <w:trHeight w:val="840"/>
        </w:trPr>
        <w:tc>
          <w:tcPr>
            <w:tcW w:w="1070" w:type="dxa"/>
            <w:shd w:val="clear" w:color="auto" w:fill="auto"/>
            <w:vAlign w:val="center"/>
            <w:hideMark/>
          </w:tcPr>
          <w:p w14:paraId="4DD05672" w14:textId="77777777" w:rsidR="000125D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Wyższy personel medyczny,</w:t>
            </w:r>
          </w:p>
          <w:p w14:paraId="56F1A9DE" w14:textId="42F1B598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w tym: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00E8E48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98,04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975117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101,69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B2BA34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3,65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423923E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21,39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3AE17E3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36,70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8D71E41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15,31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FB085B2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205CE97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9,79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3D330ED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-14,21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808C52B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81,33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380F0FE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81,88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4AA091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0,55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A2C1991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10,53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DD918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11,82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7252802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1,29</w:t>
            </w:r>
          </w:p>
        </w:tc>
      </w:tr>
      <w:tr w:rsidR="00871433" w:rsidRPr="00871433" w14:paraId="196C6F7E" w14:textId="77777777" w:rsidTr="00871433">
        <w:trPr>
          <w:trHeight w:val="800"/>
        </w:trPr>
        <w:tc>
          <w:tcPr>
            <w:tcW w:w="1070" w:type="dxa"/>
            <w:shd w:val="clear" w:color="auto" w:fill="auto"/>
            <w:vAlign w:val="center"/>
            <w:hideMark/>
          </w:tcPr>
          <w:p w14:paraId="37586A5E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Lekarze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5F57941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45,35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5399C0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50,30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E23F4E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4,95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4778135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10,01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7A4C40C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24,37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701A227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14,36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4B688EF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21,00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9B01FB4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7,79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4BCFF01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-13,21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18F8F33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78,00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B755617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78,60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F74A3E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0,60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8C065A1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10,53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807985F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11,82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66D47E8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1,29</w:t>
            </w:r>
          </w:p>
        </w:tc>
      </w:tr>
      <w:tr w:rsidR="00871433" w:rsidRPr="00871433" w14:paraId="2CC5DADE" w14:textId="77777777" w:rsidTr="00871433">
        <w:trPr>
          <w:trHeight w:val="840"/>
        </w:trPr>
        <w:tc>
          <w:tcPr>
            <w:tcW w:w="1070" w:type="dxa"/>
            <w:shd w:val="clear" w:color="auto" w:fill="auto"/>
            <w:vAlign w:val="center"/>
            <w:hideMark/>
          </w:tcPr>
          <w:p w14:paraId="76658098" w14:textId="77777777" w:rsidR="000125D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Średni personel medyczny,</w:t>
            </w:r>
          </w:p>
          <w:p w14:paraId="6FFDF0F0" w14:textId="4C911F2B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w tym: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1121EB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109,72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84F2297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116,12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EEEDC3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6,40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C81F567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27,67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0B053B2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27,67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787C75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EF7B2EB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23,05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F97B87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20,55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A8B7D13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-2,50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44A1A52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474,50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9E07C28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505,00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407BF21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30,50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83C4275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213,55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ACE6ACE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218,93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BE434AE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5,38</w:t>
            </w:r>
          </w:p>
        </w:tc>
      </w:tr>
      <w:tr w:rsidR="00871433" w:rsidRPr="00871433" w14:paraId="4694FD45" w14:textId="77777777" w:rsidTr="00871433">
        <w:trPr>
          <w:trHeight w:val="400"/>
        </w:trPr>
        <w:tc>
          <w:tcPr>
            <w:tcW w:w="1070" w:type="dxa"/>
            <w:shd w:val="clear" w:color="auto" w:fill="auto"/>
            <w:vAlign w:val="center"/>
            <w:hideMark/>
          </w:tcPr>
          <w:p w14:paraId="3D6A409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Pielęgniarki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03D388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37,10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7AD5733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40,15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FF70B0F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3,05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36FF58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11,67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92ADC9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10,67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C5C53B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-1,00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D0426F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11,75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3578DE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9,25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0EB84ED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-2,50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6573FCE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49,00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379527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B61F8C4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891844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18D0C4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B1D1AAC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-2,00</w:t>
            </w:r>
          </w:p>
        </w:tc>
      </w:tr>
      <w:tr w:rsidR="00871433" w:rsidRPr="00871433" w14:paraId="0DCEA644" w14:textId="77777777" w:rsidTr="00871433">
        <w:trPr>
          <w:trHeight w:val="630"/>
        </w:trPr>
        <w:tc>
          <w:tcPr>
            <w:tcW w:w="1070" w:type="dxa"/>
            <w:shd w:val="clear" w:color="auto" w:fill="auto"/>
            <w:vAlign w:val="center"/>
            <w:hideMark/>
          </w:tcPr>
          <w:p w14:paraId="5CC51BAA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Niższy personel medyczny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0C337F4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C46546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1208ED8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914BA6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B3EE0C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641D4FD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694A535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F92BE0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4B917307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5F6B4E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485CD58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11,00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C2365E3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50882CB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28E6A9C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C9C936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871433" w:rsidRPr="00871433" w14:paraId="3C35DD86" w14:textId="77777777" w:rsidTr="00871433">
        <w:trPr>
          <w:trHeight w:val="840"/>
        </w:trPr>
        <w:tc>
          <w:tcPr>
            <w:tcW w:w="1070" w:type="dxa"/>
            <w:shd w:val="clear" w:color="auto" w:fill="auto"/>
            <w:vAlign w:val="center"/>
            <w:hideMark/>
          </w:tcPr>
          <w:p w14:paraId="4BCD47C2" w14:textId="77777777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Administracja i personel niemedyczny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D46BB24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39,50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D860981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33,70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A2760E5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-5,80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3BD1286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18,00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77C76A4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19,00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CE07B38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AE4071C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32,20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28F18913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17,50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52477D1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-14,70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315659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37,24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6E640F2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41,91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A5652AB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4,67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CAE19EC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17,91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E256E97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19,69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3D107A7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1,78</w:t>
            </w:r>
          </w:p>
        </w:tc>
      </w:tr>
      <w:tr w:rsidR="00871433" w:rsidRPr="00871433" w14:paraId="1E072A08" w14:textId="77777777" w:rsidTr="00871433">
        <w:trPr>
          <w:trHeight w:val="1260"/>
        </w:trPr>
        <w:tc>
          <w:tcPr>
            <w:tcW w:w="1070" w:type="dxa"/>
            <w:shd w:val="clear" w:color="auto" w:fill="auto"/>
            <w:vAlign w:val="center"/>
            <w:hideMark/>
          </w:tcPr>
          <w:p w14:paraId="45159C31" w14:textId="77777777" w:rsidR="000125D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Personel techniczny, gospodarczy</w:t>
            </w:r>
          </w:p>
          <w:p w14:paraId="7980386A" w14:textId="124D9339" w:rsidR="00871433" w:rsidRPr="00871433" w:rsidRDefault="00871433" w:rsidP="0087143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 xml:space="preserve"> i obsługi niemedyczny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701397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5054C24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7,00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746BB60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F8F117D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E9ECA6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CC834D3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79F6749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6,00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94A0CD3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5,36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78DAC20E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-0,64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7B539742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92,58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50DEA8B3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93,58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8FAC042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1,00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6AE66AA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0,43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BA5548F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0,51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0A9D2C2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pl-PL"/>
              </w:rPr>
              <w:t>0,08</w:t>
            </w:r>
          </w:p>
        </w:tc>
      </w:tr>
      <w:tr w:rsidR="00871433" w:rsidRPr="000125D3" w14:paraId="7D43949F" w14:textId="77777777" w:rsidTr="000125D3">
        <w:trPr>
          <w:trHeight w:val="290"/>
        </w:trPr>
        <w:tc>
          <w:tcPr>
            <w:tcW w:w="1070" w:type="dxa"/>
            <w:shd w:val="clear" w:color="auto" w:fill="auto"/>
            <w:vAlign w:val="center"/>
            <w:hideMark/>
          </w:tcPr>
          <w:p w14:paraId="13E4284F" w14:textId="77777777" w:rsidR="00871433" w:rsidRPr="00871433" w:rsidRDefault="00871433" w:rsidP="0087143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2EB2967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259,26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02A031EF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264,51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56A8454F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5,25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1077DD58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67,06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17323D3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83,37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193251F6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16,31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A7F0AF5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85,25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6D42282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53,20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033CB656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-32,05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4B2BC44D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696,65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916AD9E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733,37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260F699B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36,72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385325AB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242,42</w:t>
            </w:r>
          </w:p>
        </w:tc>
        <w:tc>
          <w:tcPr>
            <w:tcW w:w="936" w:type="dxa"/>
            <w:shd w:val="clear" w:color="auto" w:fill="auto"/>
            <w:noWrap/>
            <w:vAlign w:val="center"/>
            <w:hideMark/>
          </w:tcPr>
          <w:p w14:paraId="68D8DA19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250,95</w:t>
            </w:r>
          </w:p>
        </w:tc>
        <w:tc>
          <w:tcPr>
            <w:tcW w:w="956" w:type="dxa"/>
            <w:shd w:val="clear" w:color="auto" w:fill="auto"/>
            <w:noWrap/>
            <w:vAlign w:val="center"/>
            <w:hideMark/>
          </w:tcPr>
          <w:p w14:paraId="6233EE23" w14:textId="77777777" w:rsidR="00871433" w:rsidRPr="00871433" w:rsidRDefault="00871433" w:rsidP="000125D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871433">
              <w:rPr>
                <w:rFonts w:asciiTheme="minorHAnsi" w:eastAsia="Times New Roman" w:hAnsiTheme="minorHAnsi" w:cstheme="minorHAnsi"/>
                <w:b/>
                <w:bCs/>
                <w:color w:val="000000"/>
                <w:sz w:val="16"/>
                <w:szCs w:val="16"/>
                <w:lang w:eastAsia="pl-PL"/>
              </w:rPr>
              <w:t>8,53</w:t>
            </w:r>
          </w:p>
        </w:tc>
      </w:tr>
    </w:tbl>
    <w:p w14:paraId="6B65BF63" w14:textId="5BF644A4" w:rsidR="005D7D0A" w:rsidRPr="000125D3" w:rsidRDefault="00E55718" w:rsidP="005D7D0A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0125D3">
        <w:rPr>
          <w:rFonts w:asciiTheme="minorHAnsi" w:hAnsiTheme="minorHAnsi" w:cstheme="minorHAnsi"/>
        </w:rPr>
        <w:t>*</w:t>
      </w:r>
      <w:r w:rsidRPr="000125D3"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  <w:t>z wyłączeniem lekarzy stażystów i rezydentów</w:t>
      </w:r>
    </w:p>
    <w:p w14:paraId="2C1FD3EB" w14:textId="0D575BB4" w:rsidR="005D7D0A" w:rsidRPr="000125D3" w:rsidRDefault="005D7D0A" w:rsidP="005D7D0A">
      <w:pPr>
        <w:rPr>
          <w:rFonts w:asciiTheme="minorHAnsi" w:eastAsia="Times New Roman" w:hAnsiTheme="minorHAnsi" w:cstheme="minorHAnsi"/>
          <w:color w:val="000000"/>
          <w:sz w:val="16"/>
          <w:szCs w:val="16"/>
          <w:lang w:eastAsia="pl-PL"/>
        </w:rPr>
      </w:pPr>
      <w:r w:rsidRPr="000125D3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100B28F9" w14:textId="66BF096B" w:rsidR="005D7D0A" w:rsidRPr="009D03BD" w:rsidRDefault="005D7D0A" w:rsidP="00E55718">
      <w:pPr>
        <w:rPr>
          <w:rFonts w:asciiTheme="minorHAnsi" w:eastAsia="Times New Roman" w:hAnsiTheme="minorHAnsi" w:cstheme="minorHAnsi"/>
          <w:color w:val="000000"/>
          <w:sz w:val="16"/>
          <w:szCs w:val="16"/>
          <w:highlight w:val="yellow"/>
          <w:lang w:eastAsia="pl-PL"/>
        </w:rPr>
        <w:sectPr w:rsidR="005D7D0A" w:rsidRPr="009D03BD" w:rsidSect="003F4DAE">
          <w:pgSz w:w="16838" w:h="11906" w:orient="landscape"/>
          <w:pgMar w:top="993" w:right="1418" w:bottom="1134" w:left="1418" w:header="709" w:footer="709" w:gutter="0"/>
          <w:cols w:space="708"/>
          <w:docGrid w:linePitch="360"/>
        </w:sectPr>
      </w:pPr>
    </w:p>
    <w:p w14:paraId="172F7FB9" w14:textId="77777777" w:rsidR="00E55718" w:rsidRPr="00DB08A5" w:rsidRDefault="00E55718" w:rsidP="000168E8">
      <w:pPr>
        <w:pStyle w:val="Nagwek2"/>
        <w:spacing w:before="0"/>
        <w:rPr>
          <w:rFonts w:asciiTheme="minorHAnsi" w:hAnsiTheme="minorHAnsi" w:cstheme="minorHAnsi"/>
          <w:sz w:val="24"/>
        </w:rPr>
      </w:pPr>
      <w:bookmarkStart w:id="6" w:name="_Toc163816386"/>
      <w:r w:rsidRPr="00DB08A5">
        <w:rPr>
          <w:rFonts w:asciiTheme="minorHAnsi" w:hAnsiTheme="minorHAnsi" w:cstheme="minorHAnsi"/>
          <w:sz w:val="24"/>
        </w:rPr>
        <w:lastRenderedPageBreak/>
        <w:t>Działalność lecznicza</w:t>
      </w:r>
      <w:r w:rsidR="00680BCE" w:rsidRPr="00DB08A5">
        <w:rPr>
          <w:rFonts w:asciiTheme="minorHAnsi" w:hAnsiTheme="minorHAnsi" w:cstheme="minorHAnsi"/>
          <w:sz w:val="24"/>
        </w:rPr>
        <w:t xml:space="preserve"> wojewódzkich podmiotów leczniczych</w:t>
      </w:r>
      <w:bookmarkEnd w:id="6"/>
    </w:p>
    <w:p w14:paraId="14439694" w14:textId="77777777" w:rsidR="00B109D6" w:rsidRPr="00DB08A5" w:rsidRDefault="00B109D6" w:rsidP="00015273">
      <w:pPr>
        <w:pStyle w:val="Nagwek3"/>
        <w:spacing w:after="120"/>
        <w:ind w:left="0"/>
        <w:rPr>
          <w:rFonts w:asciiTheme="minorHAnsi" w:hAnsiTheme="minorHAnsi" w:cstheme="minorHAnsi"/>
        </w:rPr>
      </w:pPr>
      <w:r w:rsidRPr="00DB08A5">
        <w:rPr>
          <w:rFonts w:asciiTheme="minorHAnsi" w:hAnsiTheme="minorHAnsi" w:cstheme="minorHAnsi"/>
        </w:rPr>
        <w:t>Liczba leczonych</w:t>
      </w:r>
      <w:r w:rsidR="00A23F44" w:rsidRPr="00DB08A5">
        <w:rPr>
          <w:rFonts w:asciiTheme="minorHAnsi" w:hAnsiTheme="minorHAnsi" w:cstheme="minorHAnsi"/>
        </w:rPr>
        <w:t xml:space="preserve"> </w:t>
      </w:r>
      <w:r w:rsidR="00E55718" w:rsidRPr="00DB08A5">
        <w:rPr>
          <w:rFonts w:asciiTheme="minorHAnsi" w:hAnsiTheme="minorHAnsi" w:cstheme="minorHAnsi"/>
        </w:rPr>
        <w:t>w lecznictwie stacjonarnym</w:t>
      </w:r>
    </w:p>
    <w:p w14:paraId="7FF47258" w14:textId="5EB0949F" w:rsidR="00E55718" w:rsidRPr="00DB08A5" w:rsidRDefault="00E55718" w:rsidP="001F13AF">
      <w:pPr>
        <w:spacing w:after="360"/>
        <w:jc w:val="both"/>
        <w:rPr>
          <w:rFonts w:asciiTheme="minorHAnsi" w:hAnsiTheme="minorHAnsi" w:cstheme="minorHAnsi"/>
          <w:sz w:val="24"/>
        </w:rPr>
      </w:pPr>
      <w:r w:rsidRPr="00DB08A5">
        <w:rPr>
          <w:rFonts w:asciiTheme="minorHAnsi" w:hAnsiTheme="minorHAnsi" w:cstheme="minorHAnsi"/>
          <w:sz w:val="24"/>
        </w:rPr>
        <w:t>W 202</w:t>
      </w:r>
      <w:r w:rsidR="00DB08A5" w:rsidRPr="00DB08A5">
        <w:rPr>
          <w:rFonts w:asciiTheme="minorHAnsi" w:hAnsiTheme="minorHAnsi" w:cstheme="minorHAnsi"/>
          <w:sz w:val="24"/>
        </w:rPr>
        <w:t>3</w:t>
      </w:r>
      <w:r w:rsidRPr="00DB08A5">
        <w:rPr>
          <w:rFonts w:asciiTheme="minorHAnsi" w:hAnsiTheme="minorHAnsi" w:cstheme="minorHAnsi"/>
          <w:sz w:val="24"/>
        </w:rPr>
        <w:t xml:space="preserve"> roku </w:t>
      </w:r>
      <w:r w:rsidR="005010EE" w:rsidRPr="00DB08A5">
        <w:rPr>
          <w:rFonts w:asciiTheme="minorHAnsi" w:hAnsiTheme="minorHAnsi" w:cstheme="minorHAnsi"/>
          <w:sz w:val="24"/>
        </w:rPr>
        <w:t xml:space="preserve">w wojewódzkich podmiotach leczniczych </w:t>
      </w:r>
      <w:r w:rsidRPr="00DB08A5">
        <w:rPr>
          <w:rFonts w:asciiTheme="minorHAnsi" w:hAnsiTheme="minorHAnsi" w:cstheme="minorHAnsi"/>
          <w:sz w:val="24"/>
        </w:rPr>
        <w:t>wystąpił</w:t>
      </w:r>
      <w:r w:rsidR="00B109D6" w:rsidRPr="00DB08A5">
        <w:rPr>
          <w:rFonts w:asciiTheme="minorHAnsi" w:hAnsiTheme="minorHAnsi" w:cstheme="minorHAnsi"/>
          <w:sz w:val="24"/>
        </w:rPr>
        <w:t xml:space="preserve"> wzrost liczby leczonych pacjentów </w:t>
      </w:r>
      <w:r w:rsidR="005010EE" w:rsidRPr="00DB08A5">
        <w:rPr>
          <w:rFonts w:asciiTheme="minorHAnsi" w:hAnsiTheme="minorHAnsi" w:cstheme="minorHAnsi"/>
          <w:sz w:val="24"/>
        </w:rPr>
        <w:t xml:space="preserve">w oddziałach stacjonarnych </w:t>
      </w:r>
      <w:r w:rsidR="00B109D6" w:rsidRPr="00DB08A5">
        <w:rPr>
          <w:rFonts w:asciiTheme="minorHAnsi" w:hAnsiTheme="minorHAnsi" w:cstheme="minorHAnsi"/>
          <w:sz w:val="24"/>
        </w:rPr>
        <w:t>w porównaniu do 202</w:t>
      </w:r>
      <w:r w:rsidR="00DB08A5" w:rsidRPr="00DB08A5">
        <w:rPr>
          <w:rFonts w:asciiTheme="minorHAnsi" w:hAnsiTheme="minorHAnsi" w:cstheme="minorHAnsi"/>
          <w:sz w:val="24"/>
        </w:rPr>
        <w:t>2</w:t>
      </w:r>
      <w:r w:rsidR="00B109D6" w:rsidRPr="00DB08A5">
        <w:rPr>
          <w:rFonts w:asciiTheme="minorHAnsi" w:hAnsiTheme="minorHAnsi" w:cstheme="minorHAnsi"/>
          <w:sz w:val="24"/>
        </w:rPr>
        <w:t xml:space="preserve"> r</w:t>
      </w:r>
      <w:r w:rsidR="005010EE" w:rsidRPr="00DB08A5">
        <w:rPr>
          <w:rFonts w:asciiTheme="minorHAnsi" w:hAnsiTheme="minorHAnsi" w:cstheme="minorHAnsi"/>
          <w:sz w:val="24"/>
        </w:rPr>
        <w:t>oku</w:t>
      </w:r>
      <w:r w:rsidR="009406BB" w:rsidRPr="00DB08A5">
        <w:rPr>
          <w:rFonts w:asciiTheme="minorHAnsi" w:hAnsiTheme="minorHAnsi" w:cstheme="minorHAnsi"/>
          <w:sz w:val="24"/>
        </w:rPr>
        <w:t xml:space="preserve"> o </w:t>
      </w:r>
      <w:r w:rsidR="00DB08A5" w:rsidRPr="00DB08A5">
        <w:rPr>
          <w:rFonts w:asciiTheme="minorHAnsi" w:hAnsiTheme="minorHAnsi" w:cstheme="minorHAnsi"/>
          <w:sz w:val="24"/>
        </w:rPr>
        <w:t>10,7</w:t>
      </w:r>
      <w:r w:rsidR="00650BE3" w:rsidRPr="00DB08A5">
        <w:rPr>
          <w:rFonts w:asciiTheme="minorHAnsi" w:hAnsiTheme="minorHAnsi" w:cstheme="minorHAnsi"/>
          <w:sz w:val="24"/>
        </w:rPr>
        <w:t xml:space="preserve"> tysi</w:t>
      </w:r>
      <w:r w:rsidR="00370CE0" w:rsidRPr="00DB08A5">
        <w:rPr>
          <w:rFonts w:asciiTheme="minorHAnsi" w:hAnsiTheme="minorHAnsi" w:cstheme="minorHAnsi"/>
          <w:sz w:val="24"/>
        </w:rPr>
        <w:t>ę</w:t>
      </w:r>
      <w:r w:rsidR="00650BE3" w:rsidRPr="00DB08A5">
        <w:rPr>
          <w:rFonts w:asciiTheme="minorHAnsi" w:hAnsiTheme="minorHAnsi" w:cstheme="minorHAnsi"/>
          <w:sz w:val="24"/>
        </w:rPr>
        <w:t>c</w:t>
      </w:r>
      <w:r w:rsidR="00370CE0" w:rsidRPr="00DB08A5">
        <w:rPr>
          <w:rFonts w:asciiTheme="minorHAnsi" w:hAnsiTheme="minorHAnsi" w:cstheme="minorHAnsi"/>
          <w:sz w:val="24"/>
        </w:rPr>
        <w:t>y</w:t>
      </w:r>
      <w:r w:rsidR="00B109D6" w:rsidRPr="00DB08A5">
        <w:rPr>
          <w:rFonts w:asciiTheme="minorHAnsi" w:hAnsiTheme="minorHAnsi" w:cstheme="minorHAnsi"/>
          <w:sz w:val="24"/>
        </w:rPr>
        <w:t xml:space="preserve">. </w:t>
      </w:r>
    </w:p>
    <w:p w14:paraId="462E4FAB" w14:textId="21BADB4C" w:rsidR="00370CE0" w:rsidRPr="00DB08A5" w:rsidRDefault="00370CE0" w:rsidP="00370CE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DB08A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Tabela </w:t>
      </w:r>
      <w:r w:rsidR="00204628" w:rsidRPr="00DB08A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begin"/>
      </w:r>
      <w:r w:rsidR="00204628" w:rsidRPr="00DB08A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instrText xml:space="preserve"> SEQ Tabela \* ARABIC </w:instrText>
      </w:r>
      <w:r w:rsidR="00204628" w:rsidRPr="00DB08A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t>12</w:t>
      </w:r>
      <w:r w:rsidR="00204628" w:rsidRPr="00DB08A5">
        <w:rPr>
          <w:rFonts w:asciiTheme="minorHAnsi" w:hAnsiTheme="minorHAnsi" w:cstheme="minorHAnsi"/>
          <w:i w:val="0"/>
          <w:iCs w:val="0"/>
          <w:noProof/>
          <w:color w:val="auto"/>
          <w:sz w:val="20"/>
          <w:szCs w:val="20"/>
        </w:rPr>
        <w:fldChar w:fldCharType="end"/>
      </w:r>
      <w:r w:rsidRPr="00DB08A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 Liczba leczonych pacjentów w lecznictwie stacjonarnym w latach 202</w:t>
      </w:r>
      <w:r w:rsidR="00735697" w:rsidRPr="00DB08A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2</w:t>
      </w:r>
      <w:r w:rsidRPr="00DB08A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-202</w:t>
      </w:r>
      <w:r w:rsidR="00735697" w:rsidRPr="00DB08A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3</w:t>
      </w:r>
      <w:r w:rsidRPr="00DB08A5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2 Liczba leczonych pacjentów w lecznictwie stacjonarnym w latach 2022-2023."/>
        <w:tblDescription w:val="Tabela zawiera informacje o nazwie podmiotu leczniczego, liczba leczonych bez ruchu z SOR, wskaźnik wykorzystania łóżka, Liczba leczonych bez ruchu z SOR, Wskaźnik wykorzystania łóżka w podziale na 2022 rok oraz 2023 rok"/>
      </w:tblPr>
      <w:tblGrid>
        <w:gridCol w:w="2263"/>
        <w:gridCol w:w="1630"/>
        <w:gridCol w:w="1630"/>
        <w:gridCol w:w="1630"/>
        <w:gridCol w:w="1631"/>
      </w:tblGrid>
      <w:tr w:rsidR="005010EE" w:rsidRPr="00DB08A5" w14:paraId="63D69ED2" w14:textId="77777777" w:rsidTr="00DB08A5">
        <w:trPr>
          <w:trHeight w:val="300"/>
          <w:jc w:val="center"/>
        </w:trPr>
        <w:tc>
          <w:tcPr>
            <w:tcW w:w="2263" w:type="dxa"/>
            <w:vMerge w:val="restart"/>
            <w:shd w:val="clear" w:color="auto" w:fill="auto"/>
            <w:noWrap/>
            <w:vAlign w:val="center"/>
            <w:hideMark/>
          </w:tcPr>
          <w:p w14:paraId="546994BF" w14:textId="77777777" w:rsidR="005010EE" w:rsidRPr="00DB08A5" w:rsidRDefault="005010EE" w:rsidP="005010E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3260" w:type="dxa"/>
            <w:gridSpan w:val="2"/>
            <w:shd w:val="clear" w:color="auto" w:fill="auto"/>
            <w:noWrap/>
            <w:vAlign w:val="center"/>
            <w:hideMark/>
          </w:tcPr>
          <w:p w14:paraId="717C4B62" w14:textId="19636365" w:rsidR="005010EE" w:rsidRPr="00DB08A5" w:rsidRDefault="00E57880" w:rsidP="00E92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735697"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261" w:type="dxa"/>
            <w:gridSpan w:val="2"/>
            <w:vAlign w:val="center"/>
          </w:tcPr>
          <w:p w14:paraId="4864F34D" w14:textId="4560D645" w:rsidR="005010EE" w:rsidRPr="00DB08A5" w:rsidRDefault="00E57880" w:rsidP="00E926E5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202</w:t>
            </w:r>
            <w:r w:rsidR="00735697"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5010EE" w:rsidRPr="00DB08A5" w14:paraId="67AD7DB7" w14:textId="77777777" w:rsidTr="00DB08A5">
        <w:trPr>
          <w:trHeight w:val="300"/>
          <w:jc w:val="center"/>
        </w:trPr>
        <w:tc>
          <w:tcPr>
            <w:tcW w:w="2263" w:type="dxa"/>
            <w:vMerge/>
            <w:shd w:val="clear" w:color="auto" w:fill="auto"/>
            <w:noWrap/>
            <w:vAlign w:val="center"/>
            <w:hideMark/>
          </w:tcPr>
          <w:p w14:paraId="3B97D3ED" w14:textId="77777777" w:rsidR="005010EE" w:rsidRPr="00DB08A5" w:rsidRDefault="005010EE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4AAA0BAE" w14:textId="77777777" w:rsidR="005010EE" w:rsidRPr="00DB08A5" w:rsidRDefault="00650BE3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leczonych bez ruchu z </w:t>
            </w:r>
            <w:r w:rsidR="005010EE"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SOR 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788EF138" w14:textId="77777777" w:rsidR="005010EE" w:rsidRPr="00DB08A5" w:rsidRDefault="005010EE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Wskaźnik wykorzystania łóżka</w:t>
            </w:r>
          </w:p>
        </w:tc>
        <w:tc>
          <w:tcPr>
            <w:tcW w:w="1630" w:type="dxa"/>
            <w:shd w:val="clear" w:color="auto" w:fill="auto"/>
            <w:noWrap/>
            <w:vAlign w:val="center"/>
            <w:hideMark/>
          </w:tcPr>
          <w:p w14:paraId="1EC8D779" w14:textId="77777777" w:rsidR="005010EE" w:rsidRPr="00DB08A5" w:rsidRDefault="005010EE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Liczba leczonych bez ruchu z SOR</w:t>
            </w:r>
          </w:p>
        </w:tc>
        <w:tc>
          <w:tcPr>
            <w:tcW w:w="1631" w:type="dxa"/>
            <w:shd w:val="clear" w:color="auto" w:fill="auto"/>
            <w:noWrap/>
            <w:vAlign w:val="center"/>
            <w:hideMark/>
          </w:tcPr>
          <w:p w14:paraId="19FF069D" w14:textId="77777777" w:rsidR="005010EE" w:rsidRPr="00DB08A5" w:rsidRDefault="005010EE" w:rsidP="00B109D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Wskaźnik wykorzystania łóżka</w:t>
            </w:r>
          </w:p>
        </w:tc>
      </w:tr>
      <w:tr w:rsidR="00DB08A5" w:rsidRPr="00DB08A5" w14:paraId="282AF9BF" w14:textId="77777777" w:rsidTr="00DB08A5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5413644" w14:textId="77777777" w:rsidR="00DB08A5" w:rsidRPr="00DB08A5" w:rsidRDefault="00DB08A5" w:rsidP="00DB08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797E" w14:textId="1FB036FB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78 947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07F62" w14:textId="463A02E4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76%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3BDAE" w14:textId="5682851F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81 720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75FB" w14:textId="640E7EBD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80%</w:t>
            </w:r>
          </w:p>
        </w:tc>
      </w:tr>
      <w:tr w:rsidR="00DB08A5" w:rsidRPr="00DB08A5" w14:paraId="33856463" w14:textId="77777777" w:rsidTr="00DB08A5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3BBECE1" w14:textId="77777777" w:rsidR="00DB08A5" w:rsidRPr="00DB08A5" w:rsidRDefault="00DB08A5" w:rsidP="00DB08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B3B12" w14:textId="3A8DB826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49 577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5F862" w14:textId="69DE630B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68F15" w14:textId="6839D3C5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53 097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FD69" w14:textId="5C2051DB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82%</w:t>
            </w:r>
          </w:p>
        </w:tc>
      </w:tr>
      <w:tr w:rsidR="00DB08A5" w:rsidRPr="00DB08A5" w14:paraId="462EB806" w14:textId="77777777" w:rsidTr="00DB08A5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1F68E922" w14:textId="77777777" w:rsidR="00DB08A5" w:rsidRPr="00DB08A5" w:rsidRDefault="00DB08A5" w:rsidP="00DB08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758D" w14:textId="138A83A7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50 927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E5E8B" w14:textId="43E94B4D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DB671" w14:textId="0D7E20C9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53 762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CCC83" w14:textId="66D0DE38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75%</w:t>
            </w:r>
          </w:p>
        </w:tc>
      </w:tr>
      <w:tr w:rsidR="00DB08A5" w:rsidRPr="00DB08A5" w14:paraId="6A9E3AFD" w14:textId="77777777" w:rsidTr="00DB08A5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09569088" w14:textId="77777777" w:rsidR="00DB08A5" w:rsidRPr="00DB08A5" w:rsidRDefault="00DB08A5" w:rsidP="00DB08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3566B" w14:textId="67FA9433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21 291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73CBD" w14:textId="13145075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1C76B" w14:textId="3ABC67EE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22 887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C4CE1" w14:textId="2B0B97EB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58%</w:t>
            </w:r>
          </w:p>
        </w:tc>
      </w:tr>
      <w:tr w:rsidR="00DB08A5" w:rsidRPr="00DB08A5" w14:paraId="58809D29" w14:textId="77777777" w:rsidTr="00DB08A5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349E170" w14:textId="77777777" w:rsidR="00DB08A5" w:rsidRPr="00DB08A5" w:rsidRDefault="00DB08A5" w:rsidP="00DB08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643F" w14:textId="0D5F4983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2 676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4A792" w14:textId="1B93D220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D47FB" w14:textId="68EBF60B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2 699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F4E02" w14:textId="1E024F31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97%</w:t>
            </w:r>
          </w:p>
        </w:tc>
      </w:tr>
      <w:tr w:rsidR="00DB08A5" w:rsidRPr="00DB08A5" w14:paraId="2DF90B69" w14:textId="77777777" w:rsidTr="00DB08A5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91A003D" w14:textId="77777777" w:rsidR="00DB08A5" w:rsidRPr="00DB08A5" w:rsidRDefault="00DB08A5" w:rsidP="00DB08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15E6" w14:textId="10F0DD8F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2 499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D0E6A" w14:textId="037078D1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EEDFF" w14:textId="3F4AE301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2 442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D2249" w14:textId="24B946B4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93%</w:t>
            </w:r>
          </w:p>
        </w:tc>
      </w:tr>
      <w:tr w:rsidR="00DB08A5" w:rsidRPr="00DB08A5" w14:paraId="308061CC" w14:textId="77777777" w:rsidTr="00DB08A5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6377A29" w14:textId="77777777" w:rsidR="00DB08A5" w:rsidRPr="00DB08A5" w:rsidRDefault="00DB08A5" w:rsidP="00DB08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64784" w14:textId="0CD79071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476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27DE0" w14:textId="44CD0077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90%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3DBEF" w14:textId="36F3837E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468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92655" w14:textId="35313DB7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83%</w:t>
            </w:r>
          </w:p>
        </w:tc>
      </w:tr>
      <w:tr w:rsidR="00DB08A5" w:rsidRPr="00DB08A5" w14:paraId="6DA11830" w14:textId="77777777" w:rsidTr="00DB08A5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48349D8F" w14:textId="77777777" w:rsidR="00DB08A5" w:rsidRPr="00DB08A5" w:rsidRDefault="00DB08A5" w:rsidP="00DB08A5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  <w:t>WOTUiA Stalowa Wola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D579C" w14:textId="07979EAA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507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6BB49" w14:textId="5EAE9388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85%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2BC187" w14:textId="3708425B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AC2200" w14:textId="14D8E291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86%</w:t>
            </w:r>
          </w:p>
        </w:tc>
      </w:tr>
      <w:tr w:rsidR="00DB08A5" w:rsidRPr="00DB08A5" w14:paraId="3B1D8690" w14:textId="77777777" w:rsidTr="00DB08A5">
        <w:trPr>
          <w:trHeight w:val="300"/>
          <w:jc w:val="center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829E07F" w14:textId="77777777" w:rsidR="00DB08A5" w:rsidRPr="00DB08A5" w:rsidRDefault="00DB08A5" w:rsidP="00DB08A5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5A1A" w14:textId="6A5EB5F3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206 900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B7BD9" w14:textId="4E771A8C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DB08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79%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B1CF4" w14:textId="52E65EC5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217 595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2B6D9" w14:textId="5F788C32" w:rsidR="00DB08A5" w:rsidRPr="00DB08A5" w:rsidRDefault="00DB08A5" w:rsidP="00DB08A5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DB08A5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82%</w:t>
            </w:r>
          </w:p>
        </w:tc>
      </w:tr>
    </w:tbl>
    <w:p w14:paraId="6DDB2B38" w14:textId="21F26B86" w:rsidR="005D7D0A" w:rsidRPr="00DB08A5" w:rsidRDefault="005D7D0A" w:rsidP="005D7D0A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DB08A5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76C01315" w14:textId="1C8491B8" w:rsidR="00875FED" w:rsidRPr="00735697" w:rsidRDefault="00AA4D29" w:rsidP="001F13AF">
      <w:pPr>
        <w:spacing w:before="600" w:after="360"/>
        <w:jc w:val="both"/>
        <w:rPr>
          <w:rFonts w:asciiTheme="minorHAnsi" w:hAnsiTheme="minorHAnsi" w:cstheme="minorHAnsi"/>
          <w:sz w:val="24"/>
        </w:rPr>
      </w:pPr>
      <w:r w:rsidRPr="00735697">
        <w:rPr>
          <w:rFonts w:asciiTheme="minorHAnsi" w:hAnsiTheme="minorHAnsi" w:cstheme="minorHAnsi"/>
          <w:sz w:val="24"/>
        </w:rPr>
        <w:lastRenderedPageBreak/>
        <w:t xml:space="preserve">W </w:t>
      </w:r>
      <w:r w:rsidR="00370CE0" w:rsidRPr="00735697">
        <w:rPr>
          <w:rFonts w:asciiTheme="minorHAnsi" w:hAnsiTheme="minorHAnsi" w:cstheme="minorHAnsi"/>
          <w:sz w:val="24"/>
        </w:rPr>
        <w:t>202</w:t>
      </w:r>
      <w:r w:rsidR="00735697" w:rsidRPr="00735697">
        <w:rPr>
          <w:rFonts w:asciiTheme="minorHAnsi" w:hAnsiTheme="minorHAnsi" w:cstheme="minorHAnsi"/>
          <w:sz w:val="24"/>
        </w:rPr>
        <w:t>3</w:t>
      </w:r>
      <w:r w:rsidR="00370CE0" w:rsidRPr="00735697">
        <w:rPr>
          <w:rFonts w:asciiTheme="minorHAnsi" w:hAnsiTheme="minorHAnsi" w:cstheme="minorHAnsi"/>
          <w:sz w:val="24"/>
        </w:rPr>
        <w:t xml:space="preserve"> roku</w:t>
      </w:r>
      <w:r w:rsidR="00650BE3" w:rsidRPr="00735697">
        <w:rPr>
          <w:rFonts w:asciiTheme="minorHAnsi" w:hAnsiTheme="minorHAnsi" w:cstheme="minorHAnsi"/>
          <w:sz w:val="24"/>
        </w:rPr>
        <w:t xml:space="preserve"> zmieniła się także liczba łóżek szpitalnych – związane to było z </w:t>
      </w:r>
      <w:r w:rsidR="00097297">
        <w:rPr>
          <w:rFonts w:asciiTheme="minorHAnsi" w:hAnsiTheme="minorHAnsi" w:cstheme="minorHAnsi"/>
          <w:sz w:val="24"/>
        </w:rPr>
        <w:t xml:space="preserve">dalszym </w:t>
      </w:r>
      <w:r w:rsidR="00650BE3" w:rsidRPr="00735697">
        <w:rPr>
          <w:rFonts w:asciiTheme="minorHAnsi" w:hAnsiTheme="minorHAnsi" w:cstheme="minorHAnsi"/>
          <w:sz w:val="24"/>
        </w:rPr>
        <w:t>dostosowaniem struktury oddziałów i liczby łóżek do potrzeb zdrowotnych regionu.</w:t>
      </w:r>
      <w:r w:rsidR="00094E1F">
        <w:rPr>
          <w:rFonts w:asciiTheme="minorHAnsi" w:hAnsiTheme="minorHAnsi" w:cstheme="minorHAnsi"/>
          <w:sz w:val="24"/>
        </w:rPr>
        <w:t xml:space="preserve"> Jest to ogólnopolski trend wynikający ze zmiany trybu udzielania świadczeń – w miejsce leczenia szpitalnego (całodobowego), świadczenia udzielane są w trybie dziennym lub ambulatoryjnie.</w:t>
      </w:r>
      <w:r w:rsidR="008816E2" w:rsidRPr="00735697">
        <w:rPr>
          <w:rFonts w:asciiTheme="minorHAnsi" w:hAnsiTheme="minorHAnsi" w:cstheme="minorHAnsi"/>
          <w:sz w:val="24"/>
        </w:rPr>
        <w:t xml:space="preserve"> </w:t>
      </w:r>
      <w:r w:rsidR="00DA1FC2">
        <w:rPr>
          <w:rFonts w:asciiTheme="minorHAnsi" w:hAnsiTheme="minorHAnsi" w:cstheme="minorHAnsi"/>
          <w:sz w:val="24"/>
        </w:rPr>
        <w:t xml:space="preserve">Zmniejszenie liczby łóżek </w:t>
      </w:r>
      <w:r w:rsidR="00097297">
        <w:rPr>
          <w:rFonts w:asciiTheme="minorHAnsi" w:hAnsiTheme="minorHAnsi" w:cstheme="minorHAnsi"/>
          <w:sz w:val="24"/>
        </w:rPr>
        <w:t>nie miał</w:t>
      </w:r>
      <w:r w:rsidR="00DA1FC2">
        <w:rPr>
          <w:rFonts w:asciiTheme="minorHAnsi" w:hAnsiTheme="minorHAnsi" w:cstheme="minorHAnsi"/>
          <w:sz w:val="24"/>
        </w:rPr>
        <w:t>o</w:t>
      </w:r>
      <w:r w:rsidR="00097297">
        <w:rPr>
          <w:rFonts w:asciiTheme="minorHAnsi" w:hAnsiTheme="minorHAnsi" w:cstheme="minorHAnsi"/>
          <w:sz w:val="24"/>
        </w:rPr>
        <w:t xml:space="preserve"> </w:t>
      </w:r>
      <w:r w:rsidR="00094E1F">
        <w:rPr>
          <w:rFonts w:asciiTheme="minorHAnsi" w:hAnsiTheme="minorHAnsi" w:cstheme="minorHAnsi"/>
          <w:sz w:val="24"/>
        </w:rPr>
        <w:t xml:space="preserve">negatywnego </w:t>
      </w:r>
      <w:r w:rsidR="00097297">
        <w:rPr>
          <w:rFonts w:asciiTheme="minorHAnsi" w:hAnsiTheme="minorHAnsi" w:cstheme="minorHAnsi"/>
          <w:sz w:val="24"/>
        </w:rPr>
        <w:t>wpływu na dostępność do udzielanych świadczeń</w:t>
      </w:r>
      <w:r w:rsidR="00DA1FC2">
        <w:rPr>
          <w:rFonts w:asciiTheme="minorHAnsi" w:hAnsiTheme="minorHAnsi" w:cstheme="minorHAnsi"/>
          <w:sz w:val="24"/>
        </w:rPr>
        <w:t xml:space="preserve"> – liczba leczonych pacjentów wzrasta w analizowanym okresie.</w:t>
      </w:r>
      <w:r w:rsidR="00097297">
        <w:rPr>
          <w:rFonts w:asciiTheme="minorHAnsi" w:hAnsiTheme="minorHAnsi" w:cstheme="minorHAnsi"/>
          <w:sz w:val="24"/>
        </w:rPr>
        <w:t xml:space="preserve"> </w:t>
      </w:r>
      <w:r w:rsidR="00687C85" w:rsidRPr="00735697">
        <w:rPr>
          <w:rFonts w:asciiTheme="minorHAnsi" w:hAnsiTheme="minorHAnsi" w:cstheme="minorHAnsi"/>
          <w:sz w:val="24"/>
        </w:rPr>
        <w:t xml:space="preserve">Zmiany w </w:t>
      </w:r>
      <w:r w:rsidR="00094E1F">
        <w:rPr>
          <w:rFonts w:asciiTheme="minorHAnsi" w:hAnsiTheme="minorHAnsi" w:cstheme="minorHAnsi"/>
          <w:sz w:val="24"/>
        </w:rPr>
        <w:t> </w:t>
      </w:r>
      <w:r w:rsidR="00687C85" w:rsidRPr="00735697">
        <w:rPr>
          <w:rFonts w:asciiTheme="minorHAnsi" w:hAnsiTheme="minorHAnsi" w:cstheme="minorHAnsi"/>
          <w:sz w:val="24"/>
        </w:rPr>
        <w:t>tym zakresie przedstawiają dane w tabeli 1</w:t>
      </w:r>
      <w:r w:rsidR="00AE6999">
        <w:rPr>
          <w:rFonts w:asciiTheme="minorHAnsi" w:hAnsiTheme="minorHAnsi" w:cstheme="minorHAnsi"/>
          <w:sz w:val="24"/>
        </w:rPr>
        <w:t>3</w:t>
      </w:r>
      <w:r w:rsidR="00687C85" w:rsidRPr="00735697">
        <w:rPr>
          <w:rFonts w:asciiTheme="minorHAnsi" w:hAnsiTheme="minorHAnsi" w:cstheme="minorHAnsi"/>
          <w:sz w:val="24"/>
        </w:rPr>
        <w:t>.</w:t>
      </w:r>
    </w:p>
    <w:p w14:paraId="37493066" w14:textId="28230E88" w:rsidR="00370CE0" w:rsidRPr="00735697" w:rsidRDefault="00370CE0" w:rsidP="00370CE0">
      <w:pPr>
        <w:pStyle w:val="Legenda"/>
        <w:keepNext/>
        <w:rPr>
          <w:rFonts w:asciiTheme="minorHAnsi" w:hAnsiTheme="minorHAnsi" w:cstheme="minorHAnsi"/>
          <w:i w:val="0"/>
          <w:iCs w:val="0"/>
          <w:color w:val="auto"/>
        </w:rPr>
      </w:pPr>
      <w:r w:rsidRPr="00735697">
        <w:rPr>
          <w:rFonts w:asciiTheme="minorHAnsi" w:hAnsiTheme="minorHAnsi" w:cstheme="minorHAnsi"/>
          <w:i w:val="0"/>
          <w:iCs w:val="0"/>
          <w:color w:val="auto"/>
        </w:rPr>
        <w:t xml:space="preserve">Tabela </w:t>
      </w:r>
      <w:r w:rsidR="00204628" w:rsidRPr="00735697">
        <w:rPr>
          <w:rFonts w:asciiTheme="minorHAnsi" w:hAnsiTheme="minorHAnsi" w:cstheme="minorHAnsi"/>
          <w:i w:val="0"/>
          <w:iCs w:val="0"/>
          <w:color w:val="auto"/>
        </w:rPr>
        <w:fldChar w:fldCharType="begin"/>
      </w:r>
      <w:r w:rsidR="00204628" w:rsidRPr="00735697">
        <w:rPr>
          <w:rFonts w:asciiTheme="minorHAnsi" w:hAnsiTheme="minorHAnsi" w:cstheme="minorHAnsi"/>
          <w:i w:val="0"/>
          <w:iCs w:val="0"/>
          <w:color w:val="auto"/>
        </w:rPr>
        <w:instrText xml:space="preserve"> SEQ Tabela \* ARABIC </w:instrText>
      </w:r>
      <w:r w:rsidR="00204628" w:rsidRPr="00735697">
        <w:rPr>
          <w:rFonts w:asciiTheme="minorHAnsi" w:hAnsiTheme="minorHAnsi" w:cstheme="minorHAnsi"/>
          <w:i w:val="0"/>
          <w:iCs w:val="0"/>
          <w:color w:val="auto"/>
        </w:rPr>
        <w:fldChar w:fldCharType="separate"/>
      </w:r>
      <w:r w:rsidR="00DA1FC2">
        <w:rPr>
          <w:rFonts w:asciiTheme="minorHAnsi" w:hAnsiTheme="minorHAnsi" w:cstheme="minorHAnsi"/>
          <w:i w:val="0"/>
          <w:iCs w:val="0"/>
          <w:noProof/>
          <w:color w:val="auto"/>
        </w:rPr>
        <w:t>13</w:t>
      </w:r>
      <w:r w:rsidR="00204628" w:rsidRPr="00735697">
        <w:rPr>
          <w:rFonts w:asciiTheme="minorHAnsi" w:hAnsiTheme="minorHAnsi" w:cstheme="minorHAnsi"/>
          <w:i w:val="0"/>
          <w:iCs w:val="0"/>
          <w:noProof/>
          <w:color w:val="auto"/>
        </w:rPr>
        <w:fldChar w:fldCharType="end"/>
      </w:r>
      <w:r w:rsidRPr="00735697">
        <w:rPr>
          <w:rFonts w:asciiTheme="minorHAnsi" w:hAnsiTheme="minorHAnsi" w:cstheme="minorHAnsi"/>
          <w:i w:val="0"/>
          <w:iCs w:val="0"/>
          <w:color w:val="auto"/>
        </w:rPr>
        <w:t>.</w:t>
      </w:r>
      <w:r w:rsidRPr="0073569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 xml:space="preserve"> Liczba łóżek stacjonarnych w latach 202</w:t>
      </w:r>
      <w:r w:rsidR="00735697" w:rsidRPr="0073569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2</w:t>
      </w:r>
      <w:r w:rsidRPr="0073569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-202</w:t>
      </w:r>
      <w:r w:rsidR="00735697" w:rsidRPr="0073569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3</w:t>
      </w:r>
      <w:r w:rsidRPr="00735697">
        <w:rPr>
          <w:rFonts w:asciiTheme="minorHAnsi" w:hAnsiTheme="minorHAnsi" w:cstheme="minorHAnsi"/>
          <w:i w:val="0"/>
          <w:iCs w:val="0"/>
          <w:color w:val="auto"/>
          <w:sz w:val="20"/>
          <w:szCs w:val="20"/>
        </w:rPr>
        <w:t>.</w:t>
      </w:r>
    </w:p>
    <w:tbl>
      <w:tblPr>
        <w:tblW w:w="39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3 Liczba łóżek stacjonarnych w latach 2022-2023."/>
        <w:tblDescription w:val="Tabela zawiera informacje: podmiot leczniczy, Ilość łóżek w 2021 roku, Ilość łóżek w 2023 roku, zmiana ilości łóżek w 2023 roku a 2022 roku"/>
      </w:tblPr>
      <w:tblGrid>
        <w:gridCol w:w="2305"/>
        <w:gridCol w:w="1557"/>
        <w:gridCol w:w="1557"/>
        <w:gridCol w:w="1805"/>
      </w:tblGrid>
      <w:tr w:rsidR="00735697" w:rsidRPr="00735697" w14:paraId="00E5CC90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0C4465CE" w14:textId="77777777" w:rsidR="00735697" w:rsidRPr="00735697" w:rsidRDefault="00735697" w:rsidP="007356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078" w:type="pct"/>
            <w:shd w:val="clear" w:color="auto" w:fill="auto"/>
            <w:noWrap/>
          </w:tcPr>
          <w:p w14:paraId="370237B3" w14:textId="1CD04578" w:rsidR="00735697" w:rsidRPr="00735697" w:rsidRDefault="00735697" w:rsidP="007356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Ilość łóżek w 2022 r.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14:paraId="6B1F99C7" w14:textId="5064D92C" w:rsidR="00735697" w:rsidRPr="00735697" w:rsidRDefault="00735697" w:rsidP="007356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Ilość łóżek w 2023 r.</w:t>
            </w:r>
          </w:p>
        </w:tc>
        <w:tc>
          <w:tcPr>
            <w:tcW w:w="1249" w:type="pct"/>
            <w:vAlign w:val="center"/>
          </w:tcPr>
          <w:p w14:paraId="365B59A2" w14:textId="77777777" w:rsidR="00735697" w:rsidRPr="00735697" w:rsidRDefault="00735697" w:rsidP="00735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Zmiana ilości łóżek</w:t>
            </w:r>
          </w:p>
          <w:p w14:paraId="698A7CE2" w14:textId="3841372E" w:rsidR="00735697" w:rsidRPr="00735697" w:rsidRDefault="00735697" w:rsidP="0073569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73569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(2023 r. a 2022 r.)</w:t>
            </w:r>
          </w:p>
        </w:tc>
      </w:tr>
      <w:tr w:rsidR="00735697" w:rsidRPr="00735697" w14:paraId="533E02C5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4E4063B4" w14:textId="77777777" w:rsidR="00735697" w:rsidRPr="00735697" w:rsidRDefault="00735697" w:rsidP="007356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078" w:type="pct"/>
            <w:shd w:val="clear" w:color="auto" w:fill="auto"/>
            <w:noWrap/>
          </w:tcPr>
          <w:p w14:paraId="173DE069" w14:textId="7D05C982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839</w:t>
            </w:r>
          </w:p>
        </w:tc>
        <w:tc>
          <w:tcPr>
            <w:tcW w:w="1078" w:type="pct"/>
            <w:shd w:val="clear" w:color="auto" w:fill="auto"/>
            <w:noWrap/>
          </w:tcPr>
          <w:p w14:paraId="3BD6E4D3" w14:textId="7B0DF6DE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249" w:type="pct"/>
            <w:shd w:val="clear" w:color="auto" w:fill="auto"/>
          </w:tcPr>
          <w:p w14:paraId="3E1553D6" w14:textId="7BD85DCE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-19</w:t>
            </w:r>
          </w:p>
        </w:tc>
      </w:tr>
      <w:tr w:rsidR="00735697" w:rsidRPr="00735697" w14:paraId="4D756FB0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0CFD2B18" w14:textId="77777777" w:rsidR="00735697" w:rsidRPr="00735697" w:rsidRDefault="00735697" w:rsidP="007356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078" w:type="pct"/>
            <w:shd w:val="clear" w:color="auto" w:fill="auto"/>
            <w:noWrap/>
          </w:tcPr>
          <w:p w14:paraId="676ADDEE" w14:textId="621073EA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078" w:type="pct"/>
            <w:shd w:val="clear" w:color="auto" w:fill="auto"/>
            <w:noWrap/>
          </w:tcPr>
          <w:p w14:paraId="09D0E5BB" w14:textId="61C4A732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537</w:t>
            </w:r>
          </w:p>
        </w:tc>
        <w:tc>
          <w:tcPr>
            <w:tcW w:w="1249" w:type="pct"/>
            <w:shd w:val="clear" w:color="auto" w:fill="auto"/>
          </w:tcPr>
          <w:p w14:paraId="2E09EA7C" w14:textId="5646DFF9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735697" w:rsidRPr="00735697" w14:paraId="28E1FCA8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2D4A8835" w14:textId="77777777" w:rsidR="00735697" w:rsidRPr="00735697" w:rsidRDefault="00735697" w:rsidP="007356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078" w:type="pct"/>
            <w:shd w:val="clear" w:color="auto" w:fill="auto"/>
            <w:noWrap/>
          </w:tcPr>
          <w:p w14:paraId="1F5827DB" w14:textId="2C3BC33B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078" w:type="pct"/>
            <w:shd w:val="clear" w:color="auto" w:fill="auto"/>
            <w:noWrap/>
          </w:tcPr>
          <w:p w14:paraId="13FDC4CB" w14:textId="504F0F71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526</w:t>
            </w:r>
          </w:p>
        </w:tc>
        <w:tc>
          <w:tcPr>
            <w:tcW w:w="1249" w:type="pct"/>
            <w:shd w:val="clear" w:color="auto" w:fill="auto"/>
          </w:tcPr>
          <w:p w14:paraId="0973571F" w14:textId="6073A72B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-34</w:t>
            </w:r>
          </w:p>
        </w:tc>
      </w:tr>
      <w:tr w:rsidR="00735697" w:rsidRPr="00735697" w14:paraId="7641BD07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00A67BF2" w14:textId="77777777" w:rsidR="00735697" w:rsidRPr="00735697" w:rsidRDefault="00735697" w:rsidP="007356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078" w:type="pct"/>
            <w:shd w:val="clear" w:color="auto" w:fill="auto"/>
            <w:noWrap/>
          </w:tcPr>
          <w:p w14:paraId="0DEDAE43" w14:textId="0BBD8581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78" w:type="pct"/>
            <w:shd w:val="clear" w:color="auto" w:fill="auto"/>
            <w:noWrap/>
          </w:tcPr>
          <w:p w14:paraId="7242EE6B" w14:textId="04103992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249" w:type="pct"/>
            <w:shd w:val="clear" w:color="auto" w:fill="auto"/>
          </w:tcPr>
          <w:p w14:paraId="0CC17F6A" w14:textId="04D4991C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735697" w:rsidRPr="00735697" w14:paraId="18E76354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52FDA63C" w14:textId="77777777" w:rsidR="00735697" w:rsidRPr="00735697" w:rsidRDefault="00735697" w:rsidP="007356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078" w:type="pct"/>
            <w:shd w:val="clear" w:color="auto" w:fill="auto"/>
            <w:noWrap/>
          </w:tcPr>
          <w:p w14:paraId="67DF2CD4" w14:textId="00B75BE4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456</w:t>
            </w:r>
          </w:p>
        </w:tc>
        <w:tc>
          <w:tcPr>
            <w:tcW w:w="1078" w:type="pct"/>
            <w:shd w:val="clear" w:color="auto" w:fill="auto"/>
            <w:noWrap/>
          </w:tcPr>
          <w:p w14:paraId="77C7A378" w14:textId="7D7D4F81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447</w:t>
            </w:r>
          </w:p>
        </w:tc>
        <w:tc>
          <w:tcPr>
            <w:tcW w:w="1249" w:type="pct"/>
            <w:shd w:val="clear" w:color="auto" w:fill="auto"/>
          </w:tcPr>
          <w:p w14:paraId="40D7265C" w14:textId="5BE5646B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-9</w:t>
            </w:r>
          </w:p>
        </w:tc>
      </w:tr>
      <w:tr w:rsidR="00735697" w:rsidRPr="00735697" w14:paraId="3553B132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7FDA4110" w14:textId="77777777" w:rsidR="00735697" w:rsidRPr="00735697" w:rsidRDefault="00735697" w:rsidP="007356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078" w:type="pct"/>
            <w:shd w:val="clear" w:color="auto" w:fill="auto"/>
            <w:noWrap/>
          </w:tcPr>
          <w:p w14:paraId="72FF01D0" w14:textId="154CEBE2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1078" w:type="pct"/>
            <w:shd w:val="clear" w:color="auto" w:fill="auto"/>
            <w:noWrap/>
          </w:tcPr>
          <w:p w14:paraId="3BF58445" w14:textId="4B601447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1249" w:type="pct"/>
            <w:shd w:val="clear" w:color="auto" w:fill="auto"/>
          </w:tcPr>
          <w:p w14:paraId="54E020B5" w14:textId="609F820F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-39</w:t>
            </w:r>
          </w:p>
        </w:tc>
      </w:tr>
      <w:tr w:rsidR="00735697" w:rsidRPr="00735697" w14:paraId="33B11A67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66C1A527" w14:textId="77777777" w:rsidR="00735697" w:rsidRPr="00735697" w:rsidRDefault="00735697" w:rsidP="007356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078" w:type="pct"/>
            <w:shd w:val="clear" w:color="auto" w:fill="auto"/>
            <w:noWrap/>
          </w:tcPr>
          <w:p w14:paraId="2DE9A8C7" w14:textId="4301FD77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8" w:type="pct"/>
            <w:shd w:val="clear" w:color="auto" w:fill="auto"/>
            <w:noWrap/>
          </w:tcPr>
          <w:p w14:paraId="77FCAB70" w14:textId="3FF6D0EB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49" w:type="pct"/>
            <w:shd w:val="clear" w:color="auto" w:fill="auto"/>
          </w:tcPr>
          <w:p w14:paraId="3349DD07" w14:textId="4B9DCE43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735697" w:rsidRPr="00735697" w14:paraId="3DF39CEE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2C4EB87C" w14:textId="77777777" w:rsidR="00735697" w:rsidRPr="00735697" w:rsidRDefault="00735697" w:rsidP="00735697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WOTUiA Stalowa Wola</w:t>
            </w:r>
          </w:p>
        </w:tc>
        <w:tc>
          <w:tcPr>
            <w:tcW w:w="1078" w:type="pct"/>
            <w:shd w:val="clear" w:color="auto" w:fill="auto"/>
            <w:noWrap/>
          </w:tcPr>
          <w:p w14:paraId="6308496F" w14:textId="3E65A4B2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078" w:type="pct"/>
            <w:shd w:val="clear" w:color="auto" w:fill="auto"/>
            <w:noWrap/>
          </w:tcPr>
          <w:p w14:paraId="4FF5FFBD" w14:textId="7AB99B23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249" w:type="pct"/>
            <w:shd w:val="clear" w:color="auto" w:fill="auto"/>
          </w:tcPr>
          <w:p w14:paraId="2B60DC63" w14:textId="69BACE12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</w:t>
            </w:r>
          </w:p>
        </w:tc>
      </w:tr>
      <w:tr w:rsidR="00735697" w:rsidRPr="00735697" w14:paraId="10506651" w14:textId="77777777" w:rsidTr="00735697">
        <w:trPr>
          <w:trHeight w:val="20"/>
          <w:jc w:val="center"/>
        </w:trPr>
        <w:tc>
          <w:tcPr>
            <w:tcW w:w="1595" w:type="pct"/>
            <w:shd w:val="clear" w:color="auto" w:fill="auto"/>
            <w:noWrap/>
            <w:vAlign w:val="center"/>
            <w:hideMark/>
          </w:tcPr>
          <w:p w14:paraId="45D81D91" w14:textId="77777777" w:rsidR="00735697" w:rsidRPr="00735697" w:rsidRDefault="00735697" w:rsidP="0073569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569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078" w:type="pct"/>
            <w:shd w:val="clear" w:color="auto" w:fill="auto"/>
            <w:noWrap/>
          </w:tcPr>
          <w:p w14:paraId="0EF32BFB" w14:textId="5C6C1661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3 022</w:t>
            </w:r>
          </w:p>
        </w:tc>
        <w:tc>
          <w:tcPr>
            <w:tcW w:w="1078" w:type="pct"/>
            <w:shd w:val="clear" w:color="auto" w:fill="auto"/>
            <w:noWrap/>
          </w:tcPr>
          <w:p w14:paraId="21EAE9AB" w14:textId="3D8190C4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2 921</w:t>
            </w:r>
          </w:p>
        </w:tc>
        <w:tc>
          <w:tcPr>
            <w:tcW w:w="1249" w:type="pct"/>
            <w:shd w:val="clear" w:color="auto" w:fill="auto"/>
          </w:tcPr>
          <w:p w14:paraId="4C130269" w14:textId="626CC551" w:rsidR="00735697" w:rsidRPr="00735697" w:rsidRDefault="00735697" w:rsidP="00735697">
            <w:pPr>
              <w:spacing w:after="0" w:line="240" w:lineRule="auto"/>
              <w:ind w:right="113"/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3569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-101</w:t>
            </w:r>
          </w:p>
        </w:tc>
      </w:tr>
    </w:tbl>
    <w:p w14:paraId="4B4DC0B1" w14:textId="69582AF3" w:rsidR="005D7D0A" w:rsidRPr="00DA1FC2" w:rsidRDefault="005D7D0A" w:rsidP="00DA1FC2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735697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2A26053D" w14:textId="77777777" w:rsidR="005D7D0A" w:rsidRPr="009D03BD" w:rsidRDefault="005D7D0A" w:rsidP="00875FED">
      <w:pPr>
        <w:pStyle w:val="Nagwek3"/>
        <w:ind w:left="0"/>
        <w:rPr>
          <w:rFonts w:asciiTheme="minorHAnsi" w:hAnsiTheme="minorHAnsi" w:cstheme="minorHAnsi"/>
          <w:szCs w:val="24"/>
          <w:highlight w:val="yellow"/>
        </w:rPr>
        <w:sectPr w:rsidR="005D7D0A" w:rsidRPr="009D03BD" w:rsidSect="003F4DAE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14:paraId="2575F854" w14:textId="77777777" w:rsidR="000168E8" w:rsidRPr="000B38B5" w:rsidRDefault="00875FED" w:rsidP="000168E8">
      <w:pPr>
        <w:pStyle w:val="Nagwek3"/>
        <w:spacing w:after="120"/>
        <w:ind w:left="0"/>
        <w:rPr>
          <w:rFonts w:asciiTheme="minorHAnsi" w:hAnsiTheme="minorHAnsi" w:cstheme="minorHAnsi"/>
          <w:szCs w:val="24"/>
        </w:rPr>
      </w:pPr>
      <w:r w:rsidRPr="000B38B5">
        <w:rPr>
          <w:rFonts w:asciiTheme="minorHAnsi" w:hAnsiTheme="minorHAnsi" w:cstheme="minorHAnsi"/>
          <w:szCs w:val="24"/>
        </w:rPr>
        <w:t>Realizacja k</w:t>
      </w:r>
      <w:r w:rsidR="00B109D6" w:rsidRPr="000B38B5">
        <w:rPr>
          <w:rFonts w:asciiTheme="minorHAnsi" w:hAnsiTheme="minorHAnsi" w:cstheme="minorHAnsi"/>
          <w:szCs w:val="24"/>
        </w:rPr>
        <w:t>ontrakt</w:t>
      </w:r>
      <w:r w:rsidRPr="000B38B5">
        <w:rPr>
          <w:rFonts w:asciiTheme="minorHAnsi" w:hAnsiTheme="minorHAnsi" w:cstheme="minorHAnsi"/>
          <w:szCs w:val="24"/>
        </w:rPr>
        <w:t>u</w:t>
      </w:r>
      <w:r w:rsidR="00B109D6" w:rsidRPr="000B38B5">
        <w:rPr>
          <w:rFonts w:asciiTheme="minorHAnsi" w:hAnsiTheme="minorHAnsi" w:cstheme="minorHAnsi"/>
          <w:szCs w:val="24"/>
        </w:rPr>
        <w:t xml:space="preserve"> z N</w:t>
      </w:r>
      <w:r w:rsidRPr="000B38B5">
        <w:rPr>
          <w:rFonts w:asciiTheme="minorHAnsi" w:hAnsiTheme="minorHAnsi" w:cstheme="minorHAnsi"/>
          <w:szCs w:val="24"/>
        </w:rPr>
        <w:t xml:space="preserve">arodowym </w:t>
      </w:r>
      <w:r w:rsidR="00B109D6" w:rsidRPr="000B38B5">
        <w:rPr>
          <w:rFonts w:asciiTheme="minorHAnsi" w:hAnsiTheme="minorHAnsi" w:cstheme="minorHAnsi"/>
          <w:szCs w:val="24"/>
        </w:rPr>
        <w:t>F</w:t>
      </w:r>
      <w:r w:rsidRPr="000B38B5">
        <w:rPr>
          <w:rFonts w:asciiTheme="minorHAnsi" w:hAnsiTheme="minorHAnsi" w:cstheme="minorHAnsi"/>
          <w:szCs w:val="24"/>
        </w:rPr>
        <w:t xml:space="preserve">unduszem </w:t>
      </w:r>
      <w:r w:rsidR="00B109D6" w:rsidRPr="000B38B5">
        <w:rPr>
          <w:rFonts w:asciiTheme="minorHAnsi" w:hAnsiTheme="minorHAnsi" w:cstheme="minorHAnsi"/>
          <w:szCs w:val="24"/>
        </w:rPr>
        <w:t>Z</w:t>
      </w:r>
      <w:r w:rsidRPr="000B38B5">
        <w:rPr>
          <w:rFonts w:asciiTheme="minorHAnsi" w:hAnsiTheme="minorHAnsi" w:cstheme="minorHAnsi"/>
          <w:szCs w:val="24"/>
        </w:rPr>
        <w:t>drowia</w:t>
      </w:r>
    </w:p>
    <w:p w14:paraId="53AC3C97" w14:textId="40ADB968" w:rsidR="000B0676" w:rsidRPr="000B38B5" w:rsidRDefault="000B0676" w:rsidP="000B38B5">
      <w:pPr>
        <w:jc w:val="both"/>
        <w:rPr>
          <w:rFonts w:asciiTheme="minorHAnsi" w:hAnsiTheme="minorHAnsi" w:cstheme="minorHAnsi"/>
          <w:sz w:val="24"/>
          <w:szCs w:val="24"/>
        </w:rPr>
      </w:pPr>
      <w:r w:rsidRPr="000B38B5">
        <w:rPr>
          <w:rFonts w:asciiTheme="minorHAnsi" w:hAnsiTheme="minorHAnsi" w:cstheme="minorHAnsi"/>
          <w:sz w:val="24"/>
          <w:szCs w:val="24"/>
        </w:rPr>
        <w:t>W 202</w:t>
      </w:r>
      <w:r w:rsidR="00736A0E" w:rsidRPr="000B38B5">
        <w:rPr>
          <w:rFonts w:asciiTheme="minorHAnsi" w:hAnsiTheme="minorHAnsi" w:cstheme="minorHAnsi"/>
          <w:sz w:val="24"/>
          <w:szCs w:val="24"/>
        </w:rPr>
        <w:t>3</w:t>
      </w:r>
      <w:r w:rsidRPr="000B38B5">
        <w:rPr>
          <w:rFonts w:asciiTheme="minorHAnsi" w:hAnsiTheme="minorHAnsi" w:cstheme="minorHAnsi"/>
          <w:sz w:val="24"/>
          <w:szCs w:val="24"/>
        </w:rPr>
        <w:t xml:space="preserve"> roku wzrosła cena za pkt w ryczałcie PSZ </w:t>
      </w:r>
      <w:r w:rsidR="00736A0E" w:rsidRPr="000B38B5">
        <w:rPr>
          <w:rFonts w:asciiTheme="minorHAnsi" w:hAnsiTheme="minorHAnsi" w:cstheme="minorHAnsi"/>
          <w:sz w:val="24"/>
          <w:szCs w:val="24"/>
        </w:rPr>
        <w:t xml:space="preserve">– z </w:t>
      </w:r>
      <w:r w:rsidRPr="000B38B5">
        <w:rPr>
          <w:rFonts w:asciiTheme="minorHAnsi" w:hAnsiTheme="minorHAnsi" w:cstheme="minorHAnsi"/>
          <w:sz w:val="24"/>
          <w:szCs w:val="24"/>
        </w:rPr>
        <w:t xml:space="preserve">1,62 zł </w:t>
      </w:r>
      <w:r w:rsidR="00736A0E" w:rsidRPr="000B38B5">
        <w:rPr>
          <w:rFonts w:asciiTheme="minorHAnsi" w:hAnsiTheme="minorHAnsi" w:cstheme="minorHAnsi"/>
          <w:sz w:val="24"/>
          <w:szCs w:val="24"/>
        </w:rPr>
        <w:t>do 1,72 zł</w:t>
      </w:r>
      <w:r w:rsidRPr="000B38B5">
        <w:rPr>
          <w:rFonts w:asciiTheme="minorHAnsi" w:hAnsiTheme="minorHAnsi" w:cstheme="minorHAnsi"/>
          <w:sz w:val="24"/>
          <w:szCs w:val="24"/>
        </w:rPr>
        <w:t>.</w:t>
      </w:r>
    </w:p>
    <w:p w14:paraId="18063B9B" w14:textId="2CA89D14" w:rsidR="005D7D0A" w:rsidRPr="000B38B5" w:rsidRDefault="00030481" w:rsidP="000B38B5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0B38B5">
        <w:rPr>
          <w:rFonts w:asciiTheme="minorHAnsi" w:hAnsiTheme="minorHAnsi" w:cstheme="minorHAnsi"/>
          <w:sz w:val="24"/>
          <w:szCs w:val="24"/>
        </w:rPr>
        <w:t>St</w:t>
      </w:r>
      <w:r w:rsidR="00B21D3D" w:rsidRPr="000B38B5">
        <w:rPr>
          <w:rFonts w:asciiTheme="minorHAnsi" w:hAnsiTheme="minorHAnsi" w:cstheme="minorHAnsi"/>
          <w:sz w:val="24"/>
          <w:szCs w:val="24"/>
        </w:rPr>
        <w:t>an realizacji umów z NFZ za 202</w:t>
      </w:r>
      <w:r w:rsidR="000B38B5" w:rsidRPr="000B38B5">
        <w:rPr>
          <w:rFonts w:asciiTheme="minorHAnsi" w:hAnsiTheme="minorHAnsi" w:cstheme="minorHAnsi"/>
          <w:sz w:val="24"/>
          <w:szCs w:val="24"/>
        </w:rPr>
        <w:t>3</w:t>
      </w:r>
      <w:r w:rsidRPr="000B38B5">
        <w:rPr>
          <w:rFonts w:asciiTheme="minorHAnsi" w:hAnsiTheme="minorHAnsi" w:cstheme="minorHAnsi"/>
          <w:sz w:val="24"/>
          <w:szCs w:val="24"/>
        </w:rPr>
        <w:t xml:space="preserve"> rok dla wojewódzkich podmiotów leczniczych</w:t>
      </w:r>
      <w:r w:rsidR="009406BB" w:rsidRPr="000B38B5">
        <w:rPr>
          <w:rFonts w:asciiTheme="minorHAnsi" w:hAnsiTheme="minorHAnsi" w:cstheme="minorHAnsi"/>
          <w:sz w:val="24"/>
          <w:szCs w:val="24"/>
        </w:rPr>
        <w:t xml:space="preserve"> wg wstępnych danych</w:t>
      </w:r>
      <w:r w:rsidRPr="000B38B5">
        <w:rPr>
          <w:rFonts w:asciiTheme="minorHAnsi" w:hAnsiTheme="minorHAnsi" w:cstheme="minorHAnsi"/>
          <w:sz w:val="24"/>
          <w:szCs w:val="24"/>
        </w:rPr>
        <w:t xml:space="preserve"> </w:t>
      </w:r>
      <w:r w:rsidR="007F2535" w:rsidRPr="000B38B5">
        <w:rPr>
          <w:rFonts w:asciiTheme="minorHAnsi" w:hAnsiTheme="minorHAnsi" w:cstheme="minorHAnsi"/>
          <w:sz w:val="24"/>
          <w:szCs w:val="24"/>
        </w:rPr>
        <w:t>przedstawia</w:t>
      </w:r>
      <w:r w:rsidRPr="000B38B5">
        <w:rPr>
          <w:rFonts w:asciiTheme="minorHAnsi" w:hAnsiTheme="minorHAnsi" w:cstheme="minorHAnsi"/>
          <w:sz w:val="24"/>
          <w:szCs w:val="24"/>
        </w:rPr>
        <w:t xml:space="preserve"> tabel</w:t>
      </w:r>
      <w:r w:rsidR="007F2535" w:rsidRPr="000B38B5">
        <w:rPr>
          <w:rFonts w:asciiTheme="minorHAnsi" w:hAnsiTheme="minorHAnsi" w:cstheme="minorHAnsi"/>
          <w:sz w:val="24"/>
          <w:szCs w:val="24"/>
        </w:rPr>
        <w:t>a</w:t>
      </w:r>
      <w:r w:rsidRPr="000B38B5">
        <w:rPr>
          <w:rFonts w:asciiTheme="minorHAnsi" w:hAnsiTheme="minorHAnsi" w:cstheme="minorHAnsi"/>
          <w:sz w:val="24"/>
          <w:szCs w:val="24"/>
        </w:rPr>
        <w:t xml:space="preserve"> 1</w:t>
      </w:r>
      <w:r w:rsidR="000B38B5" w:rsidRPr="000B38B5">
        <w:rPr>
          <w:rFonts w:asciiTheme="minorHAnsi" w:hAnsiTheme="minorHAnsi" w:cstheme="minorHAnsi"/>
          <w:sz w:val="24"/>
          <w:szCs w:val="24"/>
        </w:rPr>
        <w:t>4</w:t>
      </w:r>
      <w:r w:rsidRPr="000B38B5">
        <w:rPr>
          <w:rFonts w:asciiTheme="minorHAnsi" w:hAnsiTheme="minorHAnsi" w:cstheme="minorHAnsi"/>
          <w:sz w:val="24"/>
          <w:szCs w:val="24"/>
        </w:rPr>
        <w:t>.</w:t>
      </w:r>
      <w:r w:rsidR="009406BB" w:rsidRPr="000B38B5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30AC8E1" w14:textId="1BE39104" w:rsidR="000B38B5" w:rsidRDefault="000B38B5" w:rsidP="000B38B5">
      <w:pPr>
        <w:spacing w:after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Łączna w</w:t>
      </w:r>
      <w:r w:rsidRPr="00BD7FFD">
        <w:rPr>
          <w:rFonts w:asciiTheme="minorHAnsi" w:hAnsiTheme="minorHAnsi" w:cstheme="minorHAnsi"/>
          <w:sz w:val="24"/>
          <w:szCs w:val="24"/>
        </w:rPr>
        <w:t xml:space="preserve">artość wykonania kontraktu z NFZ za 2023 rok </w:t>
      </w:r>
      <w:r>
        <w:rPr>
          <w:rFonts w:asciiTheme="minorHAnsi" w:hAnsiTheme="minorHAnsi" w:cstheme="minorHAnsi"/>
          <w:sz w:val="24"/>
          <w:szCs w:val="24"/>
        </w:rPr>
        <w:t>wyniosła 1,93 mld zł i wzrosła w porównaniu do 2022 r. o 26,71%</w:t>
      </w:r>
      <w:r w:rsidR="00CA35C1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tj. o 407,46 mln zł</w:t>
      </w:r>
      <w:r w:rsidR="00DC0DA6">
        <w:rPr>
          <w:rFonts w:asciiTheme="minorHAnsi" w:hAnsiTheme="minorHAnsi" w:cstheme="minorHAnsi"/>
          <w:sz w:val="24"/>
          <w:szCs w:val="24"/>
        </w:rPr>
        <w:t>. Wzrost wartości wykonania kontraktu jest efektem zwiększenia liczby pacjentów oraz zwiększeniem finansowania świadczeń przez NFZ.</w:t>
      </w:r>
    </w:p>
    <w:p w14:paraId="6FC91469" w14:textId="5C5B2D5E" w:rsidR="000B38B5" w:rsidRPr="009656F7" w:rsidRDefault="000B38B5" w:rsidP="000B38B5">
      <w:pPr>
        <w:spacing w:after="120"/>
        <w:jc w:val="both"/>
        <w:rPr>
          <w:rFonts w:asciiTheme="minorHAnsi" w:hAnsiTheme="minorHAnsi" w:cstheme="minorHAnsi"/>
          <w:i/>
          <w:iCs/>
        </w:rPr>
      </w:pPr>
      <w:r w:rsidRPr="009656F7">
        <w:rPr>
          <w:rFonts w:asciiTheme="minorHAnsi" w:hAnsiTheme="minorHAnsi" w:cstheme="minorHAnsi"/>
        </w:rPr>
        <w:t xml:space="preserve">Tabela </w:t>
      </w:r>
      <w:r w:rsidRPr="009656F7">
        <w:rPr>
          <w:rFonts w:asciiTheme="minorHAnsi" w:hAnsiTheme="minorHAnsi" w:cstheme="minorHAnsi"/>
          <w:i/>
          <w:iCs/>
        </w:rPr>
        <w:fldChar w:fldCharType="begin"/>
      </w:r>
      <w:r w:rsidRPr="009656F7">
        <w:rPr>
          <w:rFonts w:asciiTheme="minorHAnsi" w:hAnsiTheme="minorHAnsi" w:cstheme="minorHAnsi"/>
        </w:rPr>
        <w:instrText xml:space="preserve"> SEQ Tabela \* ARABIC </w:instrText>
      </w:r>
      <w:r w:rsidRPr="009656F7">
        <w:rPr>
          <w:rFonts w:asciiTheme="minorHAnsi" w:hAnsiTheme="minorHAnsi" w:cstheme="minorHAnsi"/>
          <w:i/>
          <w:iCs/>
        </w:rPr>
        <w:fldChar w:fldCharType="separate"/>
      </w:r>
      <w:r w:rsidR="00DA1FC2">
        <w:rPr>
          <w:rFonts w:asciiTheme="minorHAnsi" w:hAnsiTheme="minorHAnsi" w:cstheme="minorHAnsi"/>
          <w:noProof/>
        </w:rPr>
        <w:t>14</w:t>
      </w:r>
      <w:r w:rsidRPr="009656F7">
        <w:rPr>
          <w:rFonts w:asciiTheme="minorHAnsi" w:hAnsiTheme="minorHAnsi" w:cstheme="minorHAnsi"/>
          <w:i/>
          <w:iCs/>
          <w:noProof/>
        </w:rPr>
        <w:fldChar w:fldCharType="end"/>
      </w:r>
      <w:r w:rsidRPr="009656F7">
        <w:rPr>
          <w:rFonts w:asciiTheme="minorHAnsi" w:hAnsiTheme="minorHAnsi" w:cstheme="minorHAnsi"/>
        </w:rPr>
        <w:t>.</w:t>
      </w:r>
      <w:r w:rsidRPr="009656F7">
        <w:rPr>
          <w:rFonts w:asciiTheme="minorHAnsi" w:hAnsiTheme="minorHAnsi" w:cstheme="minorHAnsi"/>
          <w:sz w:val="20"/>
          <w:szCs w:val="20"/>
        </w:rPr>
        <w:t xml:space="preserve"> Wykonanie kontraktu z NFZ w latach 2022-2023.</w:t>
      </w:r>
    </w:p>
    <w:tbl>
      <w:tblPr>
        <w:tblW w:w="4772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Tabela 14 Wykonanie kontraktu z NFZ w latach 2022-2023."/>
        <w:tblDescription w:val="Tabela zawiera informacje: Podmiot leczniczy, Wykonanie kontraktu z NFZ w 2022 r. oraz Wykonanie kontraktu z NFZ w 2023 r."/>
      </w:tblPr>
      <w:tblGrid>
        <w:gridCol w:w="2123"/>
        <w:gridCol w:w="3262"/>
        <w:gridCol w:w="3264"/>
      </w:tblGrid>
      <w:tr w:rsidR="000B38B5" w:rsidRPr="009656F7" w14:paraId="3B326949" w14:textId="77777777" w:rsidTr="003A4980">
        <w:trPr>
          <w:trHeight w:val="510"/>
          <w:jc w:val="center"/>
        </w:trPr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F496" w14:textId="77777777" w:rsidR="000B38B5" w:rsidRPr="009656F7" w:rsidRDefault="000B38B5" w:rsidP="003A49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Podmiot leczniczy</w:t>
            </w:r>
          </w:p>
        </w:tc>
        <w:tc>
          <w:tcPr>
            <w:tcW w:w="18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DC75" w14:textId="77777777" w:rsidR="000B38B5" w:rsidRPr="009656F7" w:rsidRDefault="000B38B5" w:rsidP="003A49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Wykonanie kontraktu z NFZ w 2022 r.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D56A9" w14:textId="77777777" w:rsidR="000B38B5" w:rsidRPr="009656F7" w:rsidRDefault="000B38B5" w:rsidP="003A498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Wykonanie kontraktu z NFZ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656F7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l-PL"/>
              </w:rPr>
              <w:t>w 2023 r.</w:t>
            </w:r>
          </w:p>
        </w:tc>
      </w:tr>
      <w:tr w:rsidR="000B38B5" w:rsidRPr="009656F7" w14:paraId="36CD1F17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F1D5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KSW Nr 2 Rzeszów</w:t>
            </w:r>
          </w:p>
        </w:tc>
        <w:tc>
          <w:tcPr>
            <w:tcW w:w="1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349D4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555 117 707,88</w:t>
            </w:r>
          </w:p>
        </w:tc>
        <w:tc>
          <w:tcPr>
            <w:tcW w:w="1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40E80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756 334 889,18</w:t>
            </w:r>
          </w:p>
        </w:tc>
      </w:tr>
      <w:tr w:rsidR="000B38B5" w:rsidRPr="009656F7" w14:paraId="45AA5E5C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7FFB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 Krosno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0BD16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200 772 789,05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ED67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237 954 007,39</w:t>
            </w:r>
          </w:p>
        </w:tc>
      </w:tr>
      <w:tr w:rsidR="000B38B5" w:rsidRPr="009656F7" w14:paraId="4E8B5564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D660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 Przemyśl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6EA62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260 394 673,57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A6C59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323 204 929,90</w:t>
            </w:r>
          </w:p>
        </w:tc>
      </w:tr>
      <w:tr w:rsidR="000B38B5" w:rsidRPr="009656F7" w14:paraId="352D9272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CCF8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 Tarnobrzeg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38AA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124 719 639,13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D7AD2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152 812 491,91</w:t>
            </w:r>
          </w:p>
        </w:tc>
      </w:tr>
      <w:tr w:rsidR="000B38B5" w:rsidRPr="009656F7" w14:paraId="77FA098E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7F62F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SP ZOZ Jarosław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2997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63 956 975,89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44864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77 780 603,00</w:t>
            </w:r>
          </w:p>
        </w:tc>
      </w:tr>
      <w:tr w:rsidR="000B38B5" w:rsidRPr="009656F7" w14:paraId="579CD0AC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D75A3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WPSP Żurawica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6BB2B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29 599 735,56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2900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35 626 008,98</w:t>
            </w:r>
          </w:p>
        </w:tc>
      </w:tr>
      <w:tr w:rsidR="000B38B5" w:rsidRPr="009656F7" w14:paraId="53492753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E3113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WZS Rzeszów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D7087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35 065 157,35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2E7F2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42 800 806,46</w:t>
            </w:r>
          </w:p>
        </w:tc>
      </w:tr>
      <w:tr w:rsidR="000B38B5" w:rsidRPr="009656F7" w14:paraId="227159D1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105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WOMP Rzeszów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AACCD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3 506 477,67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4021A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3 984 948,70</w:t>
            </w:r>
          </w:p>
        </w:tc>
      </w:tr>
      <w:tr w:rsidR="000B38B5" w:rsidRPr="009656F7" w14:paraId="2C863B31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F6D81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PCM Rzeszów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8F21D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5 661 540,93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D0CF1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6 865 826,81</w:t>
            </w:r>
          </w:p>
        </w:tc>
      </w:tr>
      <w:tr w:rsidR="000B38B5" w:rsidRPr="009656F7" w14:paraId="271BE33B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7EC6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WSPR Rzeszów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3FB4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200 923 118,02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5CB0F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240 683 982,72</w:t>
            </w:r>
          </w:p>
        </w:tc>
      </w:tr>
      <w:tr w:rsidR="000B38B5" w:rsidRPr="009656F7" w14:paraId="28135CDC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0DAC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WSPR Przemyśl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E6503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38 095 390,66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602B9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45 494 905,38</w:t>
            </w:r>
          </w:p>
        </w:tc>
      </w:tr>
      <w:tr w:rsidR="000B38B5" w:rsidRPr="009656F7" w14:paraId="60C02CC2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E1BE6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WOTU Rzeszów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EDF8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2 277 439,70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0B66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2 789 851,19</w:t>
            </w:r>
          </w:p>
        </w:tc>
      </w:tr>
      <w:tr w:rsidR="000B38B5" w:rsidRPr="009656F7" w14:paraId="530D1A29" w14:textId="77777777" w:rsidTr="003A4980">
        <w:trPr>
          <w:trHeight w:val="300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ED1C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Cs/>
                <w:color w:val="000000"/>
                <w:sz w:val="20"/>
                <w:szCs w:val="20"/>
                <w:lang w:eastAsia="pl-PL"/>
              </w:rPr>
              <w:t>WOTUiA Stalowa Wola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234D2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5 407 363,08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13A79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sz w:val="20"/>
                <w:szCs w:val="20"/>
              </w:rPr>
              <w:t>6 621 567,94</w:t>
            </w:r>
          </w:p>
        </w:tc>
      </w:tr>
      <w:tr w:rsidR="000B38B5" w:rsidRPr="009656F7" w14:paraId="33B47621" w14:textId="77777777" w:rsidTr="003A4980">
        <w:trPr>
          <w:trHeight w:val="397"/>
          <w:jc w:val="center"/>
        </w:trPr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6771" w14:textId="77777777" w:rsidR="000B38B5" w:rsidRPr="009656F7" w:rsidRDefault="000B38B5" w:rsidP="003A498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SUMA</w:t>
            </w:r>
          </w:p>
        </w:tc>
        <w:tc>
          <w:tcPr>
            <w:tcW w:w="18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A3E02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9656F7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pl-PL"/>
              </w:rPr>
              <w:t>1 525 498 008,49</w:t>
            </w:r>
          </w:p>
        </w:tc>
        <w:tc>
          <w:tcPr>
            <w:tcW w:w="1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9920B" w14:textId="77777777" w:rsidR="000B38B5" w:rsidRPr="009656F7" w:rsidRDefault="000B38B5" w:rsidP="003A4980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656F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1 932 954 819,56</w:t>
            </w:r>
          </w:p>
        </w:tc>
      </w:tr>
    </w:tbl>
    <w:p w14:paraId="2D24AA6E" w14:textId="77777777" w:rsidR="000B38B5" w:rsidRPr="005D7D0A" w:rsidRDefault="000B38B5" w:rsidP="000B38B5">
      <w:pPr>
        <w:spacing w:before="120" w:after="0"/>
        <w:jc w:val="both"/>
        <w:rPr>
          <w:rFonts w:asciiTheme="minorHAnsi" w:hAnsiTheme="minorHAnsi" w:cstheme="minorHAnsi"/>
          <w:sz w:val="20"/>
          <w:szCs w:val="20"/>
        </w:rPr>
      </w:pPr>
      <w:r w:rsidRPr="009656F7">
        <w:rPr>
          <w:rFonts w:asciiTheme="minorHAnsi" w:hAnsiTheme="minorHAnsi" w:cstheme="minorHAnsi"/>
          <w:sz w:val="20"/>
          <w:szCs w:val="20"/>
        </w:rPr>
        <w:t>Źródło: opracowanie własne</w:t>
      </w:r>
    </w:p>
    <w:p w14:paraId="49352D0B" w14:textId="77777777" w:rsidR="00736A0E" w:rsidRDefault="00736A0E" w:rsidP="001F13AF">
      <w:pPr>
        <w:spacing w:after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AC48834" w14:textId="77777777" w:rsidR="000B38B5" w:rsidRDefault="000B38B5" w:rsidP="001F13AF">
      <w:pPr>
        <w:spacing w:after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01986E95" w14:textId="77777777" w:rsidR="000B38B5" w:rsidRDefault="000B38B5" w:rsidP="001F13AF">
      <w:pPr>
        <w:spacing w:after="360"/>
        <w:jc w:val="both"/>
        <w:rPr>
          <w:rFonts w:asciiTheme="minorHAnsi" w:hAnsiTheme="minorHAnsi" w:cstheme="minorHAnsi"/>
          <w:sz w:val="24"/>
          <w:szCs w:val="24"/>
          <w:highlight w:val="yellow"/>
        </w:rPr>
      </w:pPr>
    </w:p>
    <w:p w14:paraId="7DEED526" w14:textId="77777777" w:rsidR="00EE6126" w:rsidRPr="000A7BE3" w:rsidRDefault="00EE6126" w:rsidP="00E00503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EE6126" w:rsidRPr="000A7BE3" w:rsidSect="003F4DA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74A308" w14:textId="77777777" w:rsidR="003F4DAE" w:rsidRDefault="003F4DAE" w:rsidP="0068089C">
      <w:pPr>
        <w:spacing w:after="0" w:line="240" w:lineRule="auto"/>
      </w:pPr>
      <w:r>
        <w:separator/>
      </w:r>
    </w:p>
  </w:endnote>
  <w:endnote w:type="continuationSeparator" w:id="0">
    <w:p w14:paraId="21549EE2" w14:textId="77777777" w:rsidR="003F4DAE" w:rsidRDefault="003F4DAE" w:rsidP="00680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8156978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08DB0FE3" w14:textId="77777777" w:rsidR="00AA4D29" w:rsidRPr="0095084D" w:rsidRDefault="00AA4D29" w:rsidP="00AA3A0D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95084D">
          <w:rPr>
            <w:rFonts w:ascii="Calibri" w:hAnsi="Calibri" w:cs="Calibri"/>
            <w:sz w:val="20"/>
            <w:szCs w:val="20"/>
          </w:rPr>
          <w:fldChar w:fldCharType="begin"/>
        </w:r>
        <w:r w:rsidRPr="0095084D">
          <w:rPr>
            <w:rFonts w:ascii="Calibri" w:hAnsi="Calibri" w:cs="Calibri"/>
            <w:sz w:val="20"/>
            <w:szCs w:val="20"/>
          </w:rPr>
          <w:instrText>PAGE   \* MERGEFORMAT</w:instrText>
        </w:r>
        <w:r w:rsidRPr="0095084D">
          <w:rPr>
            <w:rFonts w:ascii="Calibri" w:hAnsi="Calibri" w:cs="Calibri"/>
            <w:sz w:val="20"/>
            <w:szCs w:val="20"/>
          </w:rPr>
          <w:fldChar w:fldCharType="separate"/>
        </w:r>
        <w:r w:rsidR="008F4CBA">
          <w:rPr>
            <w:rFonts w:ascii="Calibri" w:hAnsi="Calibri" w:cs="Calibri"/>
            <w:noProof/>
            <w:sz w:val="20"/>
            <w:szCs w:val="20"/>
          </w:rPr>
          <w:t>21</w:t>
        </w:r>
        <w:r w:rsidRPr="0095084D">
          <w:rPr>
            <w:rFonts w:ascii="Calibri" w:hAnsi="Calibri" w:cs="Calibri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AE885" w14:textId="77777777" w:rsidR="003F4DAE" w:rsidRDefault="003F4DAE" w:rsidP="0068089C">
      <w:pPr>
        <w:spacing w:after="0" w:line="240" w:lineRule="auto"/>
      </w:pPr>
      <w:r>
        <w:separator/>
      </w:r>
    </w:p>
  </w:footnote>
  <w:footnote w:type="continuationSeparator" w:id="0">
    <w:p w14:paraId="0BEC505F" w14:textId="77777777" w:rsidR="003F4DAE" w:rsidRDefault="003F4DAE" w:rsidP="0068089C">
      <w:pPr>
        <w:spacing w:after="0" w:line="240" w:lineRule="auto"/>
      </w:pPr>
      <w:r>
        <w:continuationSeparator/>
      </w:r>
    </w:p>
  </w:footnote>
  <w:footnote w:id="1">
    <w:p w14:paraId="6D1B1A4F" w14:textId="77777777" w:rsidR="00736A0E" w:rsidRDefault="00736A0E" w:rsidP="00736A0E">
      <w:pPr>
        <w:pStyle w:val="Tekstprzypisudolnego"/>
      </w:pPr>
      <w:r w:rsidRPr="00E56594">
        <w:rPr>
          <w:rStyle w:val="Odwoanieprzypisudolnego"/>
          <w:rFonts w:asciiTheme="minorHAnsi" w:hAnsiTheme="minorHAnsi" w:cstheme="minorHAnsi"/>
        </w:rPr>
        <w:footnoteRef/>
      </w:r>
      <w:r w:rsidRPr="00E56594">
        <w:rPr>
          <w:rFonts w:asciiTheme="minorHAnsi" w:hAnsiTheme="minorHAnsi" w:cstheme="minorHAnsi"/>
        </w:rPr>
        <w:t xml:space="preserve"> Projekt </w:t>
      </w:r>
      <w:r w:rsidRPr="00E56594">
        <w:rPr>
          <w:rStyle w:val="Pogrubienie"/>
          <w:rFonts w:asciiTheme="minorHAnsi" w:hAnsiTheme="minorHAnsi" w:cstheme="minorHAnsi"/>
          <w:b w:val="0"/>
          <w:bCs w:val="0"/>
        </w:rPr>
        <w:t xml:space="preserve">Rozporządzenia Ministra Zdrowia zmieniające rozporządzenie w sprawie ogólnych warunków umów o </w:t>
      </w:r>
      <w:r>
        <w:rPr>
          <w:rStyle w:val="Pogrubienie"/>
          <w:rFonts w:asciiTheme="minorHAnsi" w:hAnsiTheme="minorHAnsi" w:cstheme="minorHAnsi"/>
          <w:b w:val="0"/>
          <w:bCs w:val="0"/>
        </w:rPr>
        <w:t> </w:t>
      </w:r>
      <w:r w:rsidRPr="00E56594">
        <w:rPr>
          <w:rStyle w:val="Pogrubienie"/>
          <w:rFonts w:asciiTheme="minorHAnsi" w:hAnsiTheme="minorHAnsi" w:cstheme="minorHAnsi"/>
          <w:b w:val="0"/>
          <w:bCs w:val="0"/>
        </w:rPr>
        <w:t>udzielanie świadczeń opieki zdrowotnej (numer w wykazie prac legislacyjnych Ministra Zdrowia MZ 1657)</w:t>
      </w:r>
    </w:p>
  </w:footnote>
  <w:footnote w:id="2">
    <w:p w14:paraId="76C63DFB" w14:textId="2D06CE41" w:rsidR="00643509" w:rsidRDefault="00643509" w:rsidP="0064350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43509">
        <w:rPr>
          <w:rFonts w:asciiTheme="minorHAnsi" w:hAnsiTheme="minorHAnsi" w:cstheme="minorHAnsi"/>
        </w:rPr>
        <w:t>Zarządzenie Nr 41/2024/DSOZ Prezesa Narodowego Funduszu Zdrowia  z dnia z dnia 29 marca 2024 r. zmieniające zarządzenie w sprawie określenia warunków zawierania i realizacji umów w rodzaju opieka paliatywna i hospicyjna</w:t>
      </w:r>
    </w:p>
  </w:footnote>
  <w:footnote w:id="3">
    <w:p w14:paraId="1F1E9650" w14:textId="47620B35" w:rsidR="003F15AA" w:rsidRPr="00E56594" w:rsidRDefault="003F15AA">
      <w:pPr>
        <w:pStyle w:val="Tekstprzypisudolnego"/>
        <w:rPr>
          <w:rFonts w:asciiTheme="minorHAnsi" w:hAnsiTheme="minorHAnsi" w:cstheme="minorHAnsi"/>
        </w:rPr>
      </w:pPr>
      <w:r w:rsidRPr="00E56594">
        <w:rPr>
          <w:rStyle w:val="Odwoanieprzypisudolnego"/>
          <w:rFonts w:asciiTheme="minorHAnsi" w:hAnsiTheme="minorHAnsi" w:cstheme="minorHAnsi"/>
        </w:rPr>
        <w:footnoteRef/>
      </w:r>
      <w:r w:rsidRPr="00E56594">
        <w:rPr>
          <w:rFonts w:asciiTheme="minorHAnsi" w:hAnsiTheme="minorHAnsi" w:cstheme="minorHAnsi"/>
        </w:rPr>
        <w:t xml:space="preserve"> Projekt Rozporządzenia Ministra Zdrowia zmieniającego rozporządzenie w sprawie ogólnych warunków umów o udzielanie świadczeń opieki zdrowotnej (numer w wykazie prac legislacyjnych Ministra Zdrowia MZ 1652)</w:t>
      </w:r>
    </w:p>
  </w:footnote>
  <w:footnote w:id="4">
    <w:p w14:paraId="7D6158D8" w14:textId="2F74A822" w:rsidR="000B38B5" w:rsidRDefault="000B38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B38B5">
        <w:rPr>
          <w:rFonts w:asciiTheme="minorHAnsi" w:hAnsiTheme="minorHAnsi" w:cstheme="minorHAnsi"/>
        </w:rPr>
        <w:t>Puls Medycyny</w:t>
      </w:r>
      <w:r>
        <w:rPr>
          <w:rFonts w:asciiTheme="minorHAnsi" w:hAnsiTheme="minorHAnsi" w:cstheme="minorHAnsi"/>
        </w:rPr>
        <w:t xml:space="preserve">, link do strony internetowej: </w:t>
      </w:r>
      <w:r w:rsidRPr="000B38B5">
        <w:rPr>
          <w:rFonts w:asciiTheme="minorHAnsi" w:hAnsiTheme="minorHAnsi" w:cstheme="minorHAnsi"/>
        </w:rPr>
        <w:t>https://pulsmedycyny.pl/mz-bedzie-premia-dla-podmiotow-wykonujacych-gastroskopie-i-kolonoskopie-w-znieczuleniu-1212041 - dostęp 11.04.2024</w:t>
      </w:r>
      <w:r>
        <w:rPr>
          <w:rFonts w:asciiTheme="minorHAnsi" w:hAnsiTheme="minorHAnsi" w:cstheme="minorHAnsi"/>
        </w:rPr>
        <w:t xml:space="preserve"> r.</w:t>
      </w:r>
    </w:p>
  </w:footnote>
  <w:footnote w:id="5">
    <w:p w14:paraId="32D66F71" w14:textId="290EA858" w:rsidR="00F9095B" w:rsidRPr="00F9095B" w:rsidRDefault="00F9095B" w:rsidP="00F9095B">
      <w:pPr>
        <w:pStyle w:val="Tekstprzypisudolnego"/>
        <w:rPr>
          <w:rFonts w:asciiTheme="minorHAnsi" w:hAnsiTheme="minorHAnsi" w:cstheme="minorHAnsi"/>
        </w:rPr>
      </w:pPr>
      <w:r w:rsidRPr="00F9095B">
        <w:rPr>
          <w:rStyle w:val="Odwoanieprzypisudolnego"/>
          <w:rFonts w:asciiTheme="minorHAnsi" w:hAnsiTheme="minorHAnsi" w:cstheme="minorHAnsi"/>
        </w:rPr>
        <w:footnoteRef/>
      </w:r>
      <w:r w:rsidRPr="00F9095B">
        <w:rPr>
          <w:rFonts w:asciiTheme="minorHAnsi" w:hAnsiTheme="minorHAnsi" w:cstheme="minorHAnsi"/>
        </w:rPr>
        <w:t xml:space="preserve"> Ministerstwo Zdrowia, Aktualności, link do strony internetowej: https://www.gov.pl/web/zdrowie/ponad-miliard-zlotych-na-rozwoj-poz - dostęp 11.04.2024 r.</w:t>
      </w:r>
    </w:p>
  </w:footnote>
  <w:footnote w:id="6">
    <w:p w14:paraId="7A3404D8" w14:textId="2A5D912D" w:rsidR="003411A4" w:rsidRDefault="003411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095B">
        <w:rPr>
          <w:rFonts w:asciiTheme="minorHAnsi" w:hAnsiTheme="minorHAnsi" w:cstheme="minorHAnsi"/>
        </w:rPr>
        <w:t>Ministerstwo Zdrowia, Aktualności, link do strony internetowej:</w:t>
      </w:r>
      <w:r>
        <w:rPr>
          <w:rFonts w:asciiTheme="minorHAnsi" w:hAnsiTheme="minorHAnsi" w:cstheme="minorHAnsi"/>
        </w:rPr>
        <w:t xml:space="preserve"> </w:t>
      </w:r>
      <w:r w:rsidRPr="003411A4">
        <w:rPr>
          <w:rFonts w:asciiTheme="minorHAnsi" w:hAnsiTheme="minorHAnsi" w:cstheme="minorHAnsi"/>
        </w:rPr>
        <w:t>Ministerstwo Zdrowia, Aktualności, link do strony internetowej:</w:t>
      </w:r>
    </w:p>
  </w:footnote>
  <w:footnote w:id="7">
    <w:p w14:paraId="48375C6F" w14:textId="77777777" w:rsidR="005B684D" w:rsidRPr="00F9095B" w:rsidRDefault="005B684D" w:rsidP="00F9095B">
      <w:pPr>
        <w:pStyle w:val="Tekstprzypisudolnego"/>
        <w:rPr>
          <w:rFonts w:asciiTheme="minorHAnsi" w:hAnsiTheme="minorHAnsi" w:cstheme="minorHAnsi"/>
        </w:rPr>
      </w:pPr>
      <w:r w:rsidRPr="00F9095B">
        <w:rPr>
          <w:rStyle w:val="Odwoanieprzypisudolnego"/>
          <w:rFonts w:asciiTheme="minorHAnsi" w:hAnsiTheme="minorHAnsi" w:cstheme="minorHAnsi"/>
        </w:rPr>
        <w:footnoteRef/>
      </w:r>
      <w:r w:rsidRPr="00F9095B">
        <w:rPr>
          <w:rFonts w:asciiTheme="minorHAnsi" w:hAnsiTheme="minorHAnsi" w:cstheme="minorHAnsi"/>
        </w:rPr>
        <w:t xml:space="preserve">Rynekzdrowia.pl, artykuł pt.: </w:t>
      </w:r>
      <w:r w:rsidRPr="00F9095B">
        <w:rPr>
          <w:rFonts w:asciiTheme="minorHAnsi" w:hAnsiTheme="minorHAnsi" w:cstheme="minorHAnsi"/>
          <w:i/>
          <w:iCs/>
        </w:rPr>
        <w:t>„10375 zł "minimalnej" od 2024. Wiceminister wylicza: na podwyżki potrzeba 15  mld zł. Komentuje projekt pielęgniarek”</w:t>
      </w:r>
      <w:r w:rsidRPr="00F9095B">
        <w:rPr>
          <w:rFonts w:asciiTheme="minorHAnsi" w:hAnsiTheme="minorHAnsi" w:cstheme="minorHAnsi"/>
        </w:rPr>
        <w:t xml:space="preserve"> (link do strony internetowej: https://www.rynekzdrowia.pl/Prawo/10375-zl-minimalnej-od-2024-Wiceminister-wylicza-na-podwyzki-potrzeba-15-mld-zl-Komentuje-projekt-pielegniarek,256811,2.html) – dostęp 10.04.2024 r.</w:t>
      </w:r>
    </w:p>
  </w:footnote>
  <w:footnote w:id="8">
    <w:p w14:paraId="0EE1DD9A" w14:textId="77777777" w:rsidR="005B684D" w:rsidRPr="00F9095B" w:rsidRDefault="005B684D" w:rsidP="00F9095B">
      <w:pPr>
        <w:pStyle w:val="Tekstprzypisudolnego"/>
        <w:rPr>
          <w:rFonts w:asciiTheme="minorHAnsi" w:hAnsiTheme="minorHAnsi" w:cstheme="minorHAnsi"/>
        </w:rPr>
      </w:pPr>
      <w:r w:rsidRPr="00F9095B">
        <w:rPr>
          <w:rStyle w:val="Odwoanieprzypisudolnego"/>
          <w:rFonts w:asciiTheme="minorHAnsi" w:hAnsiTheme="minorHAnsi" w:cstheme="minorHAnsi"/>
        </w:rPr>
        <w:footnoteRef/>
      </w:r>
      <w:r w:rsidRPr="00F9095B">
        <w:rPr>
          <w:rFonts w:asciiTheme="minorHAnsi" w:hAnsiTheme="minorHAnsi" w:cstheme="minorHAnsi"/>
        </w:rPr>
        <w:t>Komunikat Agencji Oceny Technologii Medycznych i Taryfikacji w sprawie pozyskania danych o wynagrodzeniach osób zatrudnionych w podmiotach leczniczych (link do strony internetowej https://www.aotm.gov.pl/aktualnosci/najnowsze/komunikat-pozyskanie-danych-o-wynagrodzeniach-osob-zatrudnionych-w-podmiotach-leczniczych-4/) – dostęp 10.04.2024 r.</w:t>
      </w:r>
    </w:p>
  </w:footnote>
  <w:footnote w:id="9">
    <w:p w14:paraId="4C99E041" w14:textId="3AF38046" w:rsidR="00D71A25" w:rsidRPr="00D71A25" w:rsidRDefault="00D71A25" w:rsidP="00D71A25">
      <w:pPr>
        <w:spacing w:after="480"/>
        <w:rPr>
          <w:rFonts w:asciiTheme="minorHAnsi" w:hAnsiTheme="minorHAnsi" w:cstheme="minorHAnsi"/>
          <w:sz w:val="20"/>
          <w:szCs w:val="20"/>
        </w:rPr>
      </w:pPr>
      <w:r w:rsidRPr="00D71A25">
        <w:rPr>
          <w:rStyle w:val="Odwoanieprzypisudolnego"/>
          <w:rFonts w:asciiTheme="minorHAnsi" w:hAnsiTheme="minorHAnsi" w:cstheme="minorHAnsi"/>
          <w:sz w:val="20"/>
          <w:szCs w:val="20"/>
        </w:rPr>
        <w:footnoteRef/>
      </w:r>
      <w:r w:rsidRPr="00D71A25">
        <w:rPr>
          <w:rFonts w:asciiTheme="minorHAnsi" w:hAnsiTheme="minorHAnsi" w:cstheme="minorHAnsi"/>
          <w:sz w:val="20"/>
          <w:szCs w:val="20"/>
        </w:rPr>
        <w:t xml:space="preserve"> Rynek Zdrowia, link do strony internetowej: https://www.rynekzdrowia.pl/Finanse-i-zarzadzanie/Podwyzki-pielegniarek-dopiero-w-2025-roku-Kos-w-tym-roku-pieniedzy-na-to-nie-ma,257319,1.html – dostęp 11.04.2024  r. </w:t>
      </w:r>
    </w:p>
  </w:footnote>
  <w:footnote w:id="10">
    <w:p w14:paraId="48BA9D53" w14:textId="77777777" w:rsidR="0095084D" w:rsidRPr="006A2250" w:rsidRDefault="0095084D" w:rsidP="0095084D">
      <w:pPr>
        <w:pStyle w:val="Tekstprzypisudolnego"/>
        <w:rPr>
          <w:rFonts w:ascii="Calibri" w:hAnsi="Calibri" w:cs="Calibri"/>
        </w:rPr>
      </w:pPr>
      <w:r w:rsidRPr="006A2250">
        <w:rPr>
          <w:rStyle w:val="Odwoanieprzypisudolnego"/>
          <w:rFonts w:ascii="Calibri" w:hAnsi="Calibri" w:cs="Calibri"/>
        </w:rPr>
        <w:footnoteRef/>
      </w:r>
      <w:r w:rsidRPr="006A2250">
        <w:rPr>
          <w:rFonts w:ascii="Calibri" w:hAnsi="Calibri" w:cs="Calibri"/>
        </w:rPr>
        <w:t xml:space="preserve"> Serwis gov.pl, Krajowy Plan Odbudowy, link do strony internetowej: https://www.gov.pl/web/planodbudowy/materialy - dostęp 10.04.2024 r.</w:t>
      </w:r>
    </w:p>
  </w:footnote>
  <w:footnote w:id="11">
    <w:p w14:paraId="1A5BD621" w14:textId="77777777" w:rsidR="0095084D" w:rsidRDefault="0095084D" w:rsidP="009508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35B98">
        <w:rPr>
          <w:rFonts w:ascii="Calibri" w:hAnsi="Calibri" w:cs="Calibri"/>
        </w:rPr>
        <w:t>Uchwała Nr 173 Rady Ministrów z dnia 16 sierpnia 2022 r. w sprawie ustanowienia programu inwestycyjnego pod nazwą „Program inwestycyjny modernizacji podmiotów leczniczych” (MP z 2022, poz.908)</w:t>
      </w:r>
      <w:r>
        <w:t xml:space="preserve"> </w:t>
      </w:r>
    </w:p>
  </w:footnote>
  <w:footnote w:id="12">
    <w:p w14:paraId="50328050" w14:textId="77777777" w:rsidR="0095084D" w:rsidRPr="00575AE2" w:rsidRDefault="0095084D" w:rsidP="0095084D">
      <w:pPr>
        <w:pStyle w:val="Tekstprzypisudolnego"/>
        <w:rPr>
          <w:rFonts w:asciiTheme="minorHAnsi" w:hAnsiTheme="minorHAnsi" w:cstheme="minorHAnsi"/>
        </w:rPr>
      </w:pPr>
      <w:r w:rsidRPr="00575AE2">
        <w:rPr>
          <w:rStyle w:val="Odwoanieprzypisudolnego"/>
          <w:rFonts w:asciiTheme="minorHAnsi" w:hAnsiTheme="minorHAnsi" w:cstheme="minorHAnsi"/>
        </w:rPr>
        <w:footnoteRef/>
      </w:r>
      <w:r w:rsidRPr="00575AE2">
        <w:rPr>
          <w:rFonts w:asciiTheme="minorHAnsi" w:hAnsiTheme="minorHAnsi" w:cstheme="minorHAnsi"/>
        </w:rPr>
        <w:t xml:space="preserve"> Aktualności Ministerstwa Zdrowia, link do strony internetowej: https://www.gov.pl/web/zdrowie/rozstrzygniety-konkurs-na-szpitalne-oddzialy-ratunkowe-sor-ze-srodkow-funduszu-medycznego - dostęp 10.04.2024</w:t>
      </w:r>
    </w:p>
  </w:footnote>
  <w:footnote w:id="13">
    <w:p w14:paraId="3C714C1D" w14:textId="77777777" w:rsidR="0095084D" w:rsidRDefault="0095084D" w:rsidP="0095084D">
      <w:pPr>
        <w:spacing w:after="0" w:line="240" w:lineRule="auto"/>
      </w:pPr>
      <w:r>
        <w:rPr>
          <w:rStyle w:val="Odwoanieprzypisudolnego"/>
        </w:rPr>
        <w:footnoteRef/>
      </w:r>
      <w:r w:rsidRPr="00844297">
        <w:rPr>
          <w:rFonts w:ascii="Calibri" w:hAnsi="Calibri" w:cs="Calibri"/>
          <w:sz w:val="20"/>
          <w:szCs w:val="20"/>
        </w:rPr>
        <w:t>Ministerstwo Zdrowia, Aktualności, link do strony internetowej: https://www.gov.pl/web/zdrowie/rozstrzygniecie-konkursu-na-dofinansowanie-zakupu-ambulansow-dla-zrm - dos</w:t>
      </w:r>
      <w:r>
        <w:rPr>
          <w:rFonts w:ascii="Calibri" w:hAnsi="Calibri" w:cs="Calibri"/>
          <w:sz w:val="20"/>
          <w:szCs w:val="20"/>
        </w:rPr>
        <w:t>t</w:t>
      </w:r>
      <w:r w:rsidRPr="00844297">
        <w:rPr>
          <w:rFonts w:ascii="Calibri" w:hAnsi="Calibri" w:cs="Calibri"/>
          <w:sz w:val="20"/>
          <w:szCs w:val="20"/>
        </w:rPr>
        <w:t>ęp 10.04.2024 r.</w:t>
      </w:r>
    </w:p>
  </w:footnote>
  <w:footnote w:id="14">
    <w:p w14:paraId="6181C036" w14:textId="77777777" w:rsidR="0095084D" w:rsidRDefault="0095084D" w:rsidP="0095084D">
      <w:pPr>
        <w:pStyle w:val="Tekstprzypisudolnego"/>
      </w:pPr>
      <w:r>
        <w:rPr>
          <w:rStyle w:val="Odwoanieprzypisudolnego"/>
        </w:rPr>
        <w:footnoteRef/>
      </w:r>
      <w:r w:rsidRPr="00296C8F">
        <w:rPr>
          <w:rFonts w:asciiTheme="minorHAnsi" w:hAnsiTheme="minorHAnsi" w:cstheme="minorHAnsi"/>
        </w:rPr>
        <w:t>Ministerstwo Zdrowia</w:t>
      </w:r>
      <w:r>
        <w:rPr>
          <w:rFonts w:asciiTheme="minorHAnsi" w:hAnsiTheme="minorHAnsi" w:cstheme="minorHAnsi"/>
        </w:rPr>
        <w:t xml:space="preserve">, link do strony internetowej: </w:t>
      </w:r>
      <w:r w:rsidRPr="00296C8F">
        <w:rPr>
          <w:rFonts w:asciiTheme="minorHAnsi" w:hAnsiTheme="minorHAnsi" w:cstheme="minorHAnsi"/>
        </w:rPr>
        <w:t>https://www.gov.pl/web/zdrowie/wybor-propozycji-projektow-strategicznych-w-zakresie-dofinansowania-zadan-polegajacych-na-budowie-przebudowie-modernizacji-lub-doposazeniu-infrastruktury-strategicznej-podmiotow-wykonujacych-dzialalnosc-lecznicza-w-rodzaju-stacjonarne-i-calodobowe-swiadczenia-zdrowotne-w-zakresie-opieka-psychiatryczna-i-leczenie-uzaleznien-na-podstawie-umowy-z-narodowym-funduszem-zdrowia - dostęp 10.04.2024</w:t>
      </w:r>
      <w:r>
        <w:rPr>
          <w:rFonts w:asciiTheme="minorHAnsi" w:hAnsiTheme="minorHAnsi" w:cstheme="minorHAnsi"/>
        </w:rPr>
        <w:t xml:space="preserve"> r.</w:t>
      </w:r>
    </w:p>
  </w:footnote>
  <w:footnote w:id="15">
    <w:p w14:paraId="68FDE6D7" w14:textId="36C38863" w:rsidR="003411A4" w:rsidRPr="00C10DE8" w:rsidRDefault="003411A4" w:rsidP="003411A4">
      <w:pPr>
        <w:pStyle w:val="Tekstprzypisudolnego"/>
        <w:rPr>
          <w:rFonts w:asciiTheme="minorHAnsi" w:hAnsiTheme="minorHAnsi" w:cstheme="minorHAnsi"/>
        </w:rPr>
      </w:pPr>
      <w:r w:rsidRPr="00C10DE8">
        <w:rPr>
          <w:rStyle w:val="Odwoanieprzypisudolnego"/>
          <w:rFonts w:asciiTheme="minorHAnsi" w:hAnsiTheme="minorHAnsi" w:cstheme="minorHAnsi"/>
        </w:rPr>
        <w:footnoteRef/>
      </w:r>
      <w:r w:rsidRPr="00C10DE8">
        <w:rPr>
          <w:rFonts w:asciiTheme="minorHAnsi" w:hAnsiTheme="minorHAnsi" w:cstheme="minorHAnsi"/>
        </w:rPr>
        <w:t xml:space="preserve"> Ministerstwo Finansów, Aktualności, link do strony inte</w:t>
      </w:r>
      <w:r w:rsidR="00C10DE8" w:rsidRPr="00C10DE8">
        <w:rPr>
          <w:rFonts w:asciiTheme="minorHAnsi" w:hAnsiTheme="minorHAnsi" w:cstheme="minorHAnsi"/>
        </w:rPr>
        <w:t>rnetowej</w:t>
      </w:r>
      <w:r w:rsidRPr="00C10DE8">
        <w:rPr>
          <w:rFonts w:asciiTheme="minorHAnsi" w:hAnsiTheme="minorHAnsi" w:cstheme="minorHAnsi"/>
        </w:rPr>
        <w:t xml:space="preserve">: </w:t>
      </w:r>
      <w:r w:rsidR="00C10DE8" w:rsidRPr="00C10DE8">
        <w:rPr>
          <w:rFonts w:asciiTheme="minorHAnsi" w:hAnsiTheme="minorHAnsi" w:cstheme="minorHAnsi"/>
        </w:rPr>
        <w:t>https://www.gov.pl/web/finanse/zalozenia-planowanych-zmian-w-skladce-zdrowotnej-przedsiebiorcow - dostęp 11.04.2024 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4B0"/>
    <w:multiLevelType w:val="hybridMultilevel"/>
    <w:tmpl w:val="741AA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76CF2"/>
    <w:multiLevelType w:val="hybridMultilevel"/>
    <w:tmpl w:val="87FC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B74AB"/>
    <w:multiLevelType w:val="hybridMultilevel"/>
    <w:tmpl w:val="7FAC9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6288A"/>
    <w:multiLevelType w:val="hybridMultilevel"/>
    <w:tmpl w:val="CBAC1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72D4"/>
    <w:multiLevelType w:val="hybridMultilevel"/>
    <w:tmpl w:val="5D645326"/>
    <w:lvl w:ilvl="0" w:tplc="39D278D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369B1"/>
    <w:multiLevelType w:val="hybridMultilevel"/>
    <w:tmpl w:val="F0E29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872D7"/>
    <w:multiLevelType w:val="hybridMultilevel"/>
    <w:tmpl w:val="5E16D09E"/>
    <w:lvl w:ilvl="0" w:tplc="F8AC91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F7F33"/>
    <w:multiLevelType w:val="hybridMultilevel"/>
    <w:tmpl w:val="8ABE3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70552"/>
    <w:multiLevelType w:val="hybridMultilevel"/>
    <w:tmpl w:val="A1C44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9734A"/>
    <w:multiLevelType w:val="multilevel"/>
    <w:tmpl w:val="513E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8C14EE"/>
    <w:multiLevelType w:val="hybridMultilevel"/>
    <w:tmpl w:val="5F385C8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216766"/>
    <w:multiLevelType w:val="hybridMultilevel"/>
    <w:tmpl w:val="27B6F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27081"/>
    <w:multiLevelType w:val="hybridMultilevel"/>
    <w:tmpl w:val="2B549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4380E"/>
    <w:multiLevelType w:val="multilevel"/>
    <w:tmpl w:val="BCB60B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4876E4"/>
    <w:multiLevelType w:val="hybridMultilevel"/>
    <w:tmpl w:val="CC4892F0"/>
    <w:lvl w:ilvl="0" w:tplc="39D278D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672902"/>
    <w:multiLevelType w:val="hybridMultilevel"/>
    <w:tmpl w:val="D8EA13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807A5"/>
    <w:multiLevelType w:val="hybridMultilevel"/>
    <w:tmpl w:val="CFA81B92"/>
    <w:lvl w:ilvl="0" w:tplc="4F66843A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10F4DB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466A1D"/>
    <w:multiLevelType w:val="hybridMultilevel"/>
    <w:tmpl w:val="48CE62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D42A7E"/>
    <w:multiLevelType w:val="hybridMultilevel"/>
    <w:tmpl w:val="A216B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FE6865"/>
    <w:multiLevelType w:val="multilevel"/>
    <w:tmpl w:val="92400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DF5125"/>
    <w:multiLevelType w:val="hybridMultilevel"/>
    <w:tmpl w:val="99142B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6619A3"/>
    <w:multiLevelType w:val="hybridMultilevel"/>
    <w:tmpl w:val="947CF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739F5"/>
    <w:multiLevelType w:val="hybridMultilevel"/>
    <w:tmpl w:val="3B940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125DE8"/>
    <w:multiLevelType w:val="hybridMultilevel"/>
    <w:tmpl w:val="80023884"/>
    <w:lvl w:ilvl="0" w:tplc="4060EFD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F80122"/>
    <w:multiLevelType w:val="hybridMultilevel"/>
    <w:tmpl w:val="38347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EF72E7"/>
    <w:multiLevelType w:val="hybridMultilevel"/>
    <w:tmpl w:val="BC267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C80DD4"/>
    <w:multiLevelType w:val="multilevel"/>
    <w:tmpl w:val="78FA7E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9A7286"/>
    <w:multiLevelType w:val="hybridMultilevel"/>
    <w:tmpl w:val="40FA0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D0725"/>
    <w:multiLevelType w:val="hybridMultilevel"/>
    <w:tmpl w:val="D6CCD1D4"/>
    <w:lvl w:ilvl="0" w:tplc="65F0049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8"/>
  </w:num>
  <w:num w:numId="3">
    <w:abstractNumId w:val="21"/>
  </w:num>
  <w:num w:numId="4">
    <w:abstractNumId w:val="7"/>
  </w:num>
  <w:num w:numId="5">
    <w:abstractNumId w:val="17"/>
  </w:num>
  <w:num w:numId="6">
    <w:abstractNumId w:val="10"/>
  </w:num>
  <w:num w:numId="7">
    <w:abstractNumId w:val="25"/>
  </w:num>
  <w:num w:numId="8">
    <w:abstractNumId w:val="18"/>
  </w:num>
  <w:num w:numId="9">
    <w:abstractNumId w:val="14"/>
  </w:num>
  <w:num w:numId="10">
    <w:abstractNumId w:val="4"/>
  </w:num>
  <w:num w:numId="11">
    <w:abstractNumId w:val="1"/>
  </w:num>
  <w:num w:numId="12">
    <w:abstractNumId w:val="6"/>
  </w:num>
  <w:num w:numId="13">
    <w:abstractNumId w:val="15"/>
  </w:num>
  <w:num w:numId="14">
    <w:abstractNumId w:val="26"/>
  </w:num>
  <w:num w:numId="15">
    <w:abstractNumId w:val="0"/>
  </w:num>
  <w:num w:numId="16">
    <w:abstractNumId w:val="28"/>
  </w:num>
  <w:num w:numId="17">
    <w:abstractNumId w:val="22"/>
  </w:num>
  <w:num w:numId="18">
    <w:abstractNumId w:val="20"/>
  </w:num>
  <w:num w:numId="19">
    <w:abstractNumId w:val="5"/>
  </w:num>
  <w:num w:numId="20">
    <w:abstractNumId w:val="23"/>
  </w:num>
  <w:num w:numId="21">
    <w:abstractNumId w:val="11"/>
  </w:num>
  <w:num w:numId="22">
    <w:abstractNumId w:val="24"/>
  </w:num>
  <w:num w:numId="23">
    <w:abstractNumId w:val="12"/>
  </w:num>
  <w:num w:numId="24">
    <w:abstractNumId w:val="3"/>
  </w:num>
  <w:num w:numId="25">
    <w:abstractNumId w:val="19"/>
  </w:num>
  <w:num w:numId="26">
    <w:abstractNumId w:val="9"/>
  </w:num>
  <w:num w:numId="27">
    <w:abstractNumId w:val="2"/>
  </w:num>
  <w:num w:numId="28">
    <w:abstractNumId w:val="27"/>
  </w:num>
  <w:num w:numId="29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1D"/>
    <w:rsid w:val="00002C75"/>
    <w:rsid w:val="00005E82"/>
    <w:rsid w:val="000065D0"/>
    <w:rsid w:val="00007CA4"/>
    <w:rsid w:val="00010041"/>
    <w:rsid w:val="00010097"/>
    <w:rsid w:val="000111E5"/>
    <w:rsid w:val="000125D3"/>
    <w:rsid w:val="00014062"/>
    <w:rsid w:val="00015273"/>
    <w:rsid w:val="000168E8"/>
    <w:rsid w:val="000226CB"/>
    <w:rsid w:val="000240FC"/>
    <w:rsid w:val="000275FC"/>
    <w:rsid w:val="00030105"/>
    <w:rsid w:val="000301ED"/>
    <w:rsid w:val="00030481"/>
    <w:rsid w:val="00037C5E"/>
    <w:rsid w:val="000414A2"/>
    <w:rsid w:val="00042D2A"/>
    <w:rsid w:val="00046BD2"/>
    <w:rsid w:val="00051032"/>
    <w:rsid w:val="00062555"/>
    <w:rsid w:val="0006493D"/>
    <w:rsid w:val="0006530D"/>
    <w:rsid w:val="00066813"/>
    <w:rsid w:val="00066913"/>
    <w:rsid w:val="00070B42"/>
    <w:rsid w:val="00080CD1"/>
    <w:rsid w:val="00082B4F"/>
    <w:rsid w:val="0008632C"/>
    <w:rsid w:val="00094E1F"/>
    <w:rsid w:val="00094F68"/>
    <w:rsid w:val="00095416"/>
    <w:rsid w:val="0009698D"/>
    <w:rsid w:val="00097297"/>
    <w:rsid w:val="000A4B7C"/>
    <w:rsid w:val="000A502E"/>
    <w:rsid w:val="000A7BE3"/>
    <w:rsid w:val="000B0676"/>
    <w:rsid w:val="000B33BF"/>
    <w:rsid w:val="000B38B5"/>
    <w:rsid w:val="000C12FE"/>
    <w:rsid w:val="000C2F73"/>
    <w:rsid w:val="000C3A02"/>
    <w:rsid w:val="000C6A86"/>
    <w:rsid w:val="000D685F"/>
    <w:rsid w:val="000E0E63"/>
    <w:rsid w:val="000E15F0"/>
    <w:rsid w:val="000E5282"/>
    <w:rsid w:val="000E696F"/>
    <w:rsid w:val="000E7BE6"/>
    <w:rsid w:val="000F4CDE"/>
    <w:rsid w:val="000F4FEE"/>
    <w:rsid w:val="00102D9C"/>
    <w:rsid w:val="001206F7"/>
    <w:rsid w:val="001277F6"/>
    <w:rsid w:val="00134A21"/>
    <w:rsid w:val="00134F15"/>
    <w:rsid w:val="00135B98"/>
    <w:rsid w:val="00136EAF"/>
    <w:rsid w:val="00141257"/>
    <w:rsid w:val="00143C1A"/>
    <w:rsid w:val="00147B8B"/>
    <w:rsid w:val="00150335"/>
    <w:rsid w:val="00154C1C"/>
    <w:rsid w:val="00160832"/>
    <w:rsid w:val="00162140"/>
    <w:rsid w:val="001700AE"/>
    <w:rsid w:val="00191600"/>
    <w:rsid w:val="001A7439"/>
    <w:rsid w:val="001A79B0"/>
    <w:rsid w:val="001B2A76"/>
    <w:rsid w:val="001C06FD"/>
    <w:rsid w:val="001C0BAF"/>
    <w:rsid w:val="001C3913"/>
    <w:rsid w:val="001C4769"/>
    <w:rsid w:val="001D4020"/>
    <w:rsid w:val="001D6BDF"/>
    <w:rsid w:val="001D6D53"/>
    <w:rsid w:val="001E0D3B"/>
    <w:rsid w:val="001E4151"/>
    <w:rsid w:val="001F13AF"/>
    <w:rsid w:val="00204628"/>
    <w:rsid w:val="00211F11"/>
    <w:rsid w:val="00214181"/>
    <w:rsid w:val="00215533"/>
    <w:rsid w:val="0022440D"/>
    <w:rsid w:val="00241739"/>
    <w:rsid w:val="00245AA0"/>
    <w:rsid w:val="0025134F"/>
    <w:rsid w:val="002544A7"/>
    <w:rsid w:val="002748DB"/>
    <w:rsid w:val="00275586"/>
    <w:rsid w:val="00280476"/>
    <w:rsid w:val="00284011"/>
    <w:rsid w:val="00296C8F"/>
    <w:rsid w:val="002B0414"/>
    <w:rsid w:val="002B224E"/>
    <w:rsid w:val="002B30E0"/>
    <w:rsid w:val="002B67D5"/>
    <w:rsid w:val="002B773B"/>
    <w:rsid w:val="002C6C6E"/>
    <w:rsid w:val="002E1CD1"/>
    <w:rsid w:val="002E2B07"/>
    <w:rsid w:val="002F39CF"/>
    <w:rsid w:val="00304E0F"/>
    <w:rsid w:val="00314A0B"/>
    <w:rsid w:val="003267AE"/>
    <w:rsid w:val="003305AC"/>
    <w:rsid w:val="003328E2"/>
    <w:rsid w:val="003340E3"/>
    <w:rsid w:val="00335DD6"/>
    <w:rsid w:val="00340A8C"/>
    <w:rsid w:val="003411A4"/>
    <w:rsid w:val="0034211F"/>
    <w:rsid w:val="003446EB"/>
    <w:rsid w:val="003467E8"/>
    <w:rsid w:val="0034729B"/>
    <w:rsid w:val="0035190C"/>
    <w:rsid w:val="00354C1A"/>
    <w:rsid w:val="00355220"/>
    <w:rsid w:val="00356152"/>
    <w:rsid w:val="00361575"/>
    <w:rsid w:val="0036255C"/>
    <w:rsid w:val="00370CE0"/>
    <w:rsid w:val="003716B3"/>
    <w:rsid w:val="00375179"/>
    <w:rsid w:val="003830F5"/>
    <w:rsid w:val="003A3538"/>
    <w:rsid w:val="003B0FDE"/>
    <w:rsid w:val="003B162B"/>
    <w:rsid w:val="003B27A4"/>
    <w:rsid w:val="003B335A"/>
    <w:rsid w:val="003B4A94"/>
    <w:rsid w:val="003B797B"/>
    <w:rsid w:val="003C23C9"/>
    <w:rsid w:val="003C6E62"/>
    <w:rsid w:val="003D0E86"/>
    <w:rsid w:val="003D5F22"/>
    <w:rsid w:val="003D778E"/>
    <w:rsid w:val="003E36EB"/>
    <w:rsid w:val="003F15AA"/>
    <w:rsid w:val="003F4DAE"/>
    <w:rsid w:val="003F4F07"/>
    <w:rsid w:val="003F6198"/>
    <w:rsid w:val="003F799E"/>
    <w:rsid w:val="00401E50"/>
    <w:rsid w:val="00402279"/>
    <w:rsid w:val="0040599C"/>
    <w:rsid w:val="00421149"/>
    <w:rsid w:val="00425036"/>
    <w:rsid w:val="0042606E"/>
    <w:rsid w:val="00432295"/>
    <w:rsid w:val="00432438"/>
    <w:rsid w:val="00436280"/>
    <w:rsid w:val="00444297"/>
    <w:rsid w:val="0044768A"/>
    <w:rsid w:val="00465664"/>
    <w:rsid w:val="00466DEF"/>
    <w:rsid w:val="00472B12"/>
    <w:rsid w:val="004878A1"/>
    <w:rsid w:val="004964C7"/>
    <w:rsid w:val="00496685"/>
    <w:rsid w:val="004A0CD2"/>
    <w:rsid w:val="004A1AF5"/>
    <w:rsid w:val="004A4B2F"/>
    <w:rsid w:val="004B1F49"/>
    <w:rsid w:val="004B421C"/>
    <w:rsid w:val="004C5EBF"/>
    <w:rsid w:val="004D1C28"/>
    <w:rsid w:val="004D237B"/>
    <w:rsid w:val="004E39BD"/>
    <w:rsid w:val="004E616E"/>
    <w:rsid w:val="004F5556"/>
    <w:rsid w:val="004F6AD7"/>
    <w:rsid w:val="005010EE"/>
    <w:rsid w:val="005079AB"/>
    <w:rsid w:val="005118C1"/>
    <w:rsid w:val="00513D52"/>
    <w:rsid w:val="00521690"/>
    <w:rsid w:val="00521E09"/>
    <w:rsid w:val="00522878"/>
    <w:rsid w:val="00526125"/>
    <w:rsid w:val="00530498"/>
    <w:rsid w:val="00530909"/>
    <w:rsid w:val="005437B4"/>
    <w:rsid w:val="00544A51"/>
    <w:rsid w:val="00547AEB"/>
    <w:rsid w:val="005568DF"/>
    <w:rsid w:val="00556A77"/>
    <w:rsid w:val="005634AF"/>
    <w:rsid w:val="00563D78"/>
    <w:rsid w:val="00564751"/>
    <w:rsid w:val="00565315"/>
    <w:rsid w:val="00574B71"/>
    <w:rsid w:val="005752DA"/>
    <w:rsid w:val="00575AE2"/>
    <w:rsid w:val="00594CE8"/>
    <w:rsid w:val="00596161"/>
    <w:rsid w:val="0059659B"/>
    <w:rsid w:val="005A555E"/>
    <w:rsid w:val="005A7357"/>
    <w:rsid w:val="005B190A"/>
    <w:rsid w:val="005B494C"/>
    <w:rsid w:val="005B684D"/>
    <w:rsid w:val="005C2306"/>
    <w:rsid w:val="005C5FBD"/>
    <w:rsid w:val="005C69D9"/>
    <w:rsid w:val="005D47E2"/>
    <w:rsid w:val="005D79BA"/>
    <w:rsid w:val="005D7D0A"/>
    <w:rsid w:val="005E0000"/>
    <w:rsid w:val="005E46F5"/>
    <w:rsid w:val="005E5FF7"/>
    <w:rsid w:val="005E6412"/>
    <w:rsid w:val="005E6A09"/>
    <w:rsid w:val="0060219A"/>
    <w:rsid w:val="00607265"/>
    <w:rsid w:val="006133F7"/>
    <w:rsid w:val="006143E9"/>
    <w:rsid w:val="0062065B"/>
    <w:rsid w:val="00623791"/>
    <w:rsid w:val="00630ED4"/>
    <w:rsid w:val="00643509"/>
    <w:rsid w:val="00650BE3"/>
    <w:rsid w:val="0065744F"/>
    <w:rsid w:val="00663B59"/>
    <w:rsid w:val="00667394"/>
    <w:rsid w:val="00671072"/>
    <w:rsid w:val="00672C70"/>
    <w:rsid w:val="0068089C"/>
    <w:rsid w:val="00680BCE"/>
    <w:rsid w:val="00681F4E"/>
    <w:rsid w:val="00682545"/>
    <w:rsid w:val="00684071"/>
    <w:rsid w:val="00687C85"/>
    <w:rsid w:val="00695896"/>
    <w:rsid w:val="006A156C"/>
    <w:rsid w:val="006A15CD"/>
    <w:rsid w:val="006A2250"/>
    <w:rsid w:val="006A72A1"/>
    <w:rsid w:val="006A764C"/>
    <w:rsid w:val="006A79C6"/>
    <w:rsid w:val="006B71A6"/>
    <w:rsid w:val="006C6107"/>
    <w:rsid w:val="006D3128"/>
    <w:rsid w:val="006D3B99"/>
    <w:rsid w:val="006E0606"/>
    <w:rsid w:val="006E34AA"/>
    <w:rsid w:val="006F4624"/>
    <w:rsid w:val="006F6C18"/>
    <w:rsid w:val="006F7B72"/>
    <w:rsid w:val="0070689A"/>
    <w:rsid w:val="00706B33"/>
    <w:rsid w:val="007128A3"/>
    <w:rsid w:val="007161BE"/>
    <w:rsid w:val="00727342"/>
    <w:rsid w:val="00732D50"/>
    <w:rsid w:val="00735697"/>
    <w:rsid w:val="0073580C"/>
    <w:rsid w:val="00736A0E"/>
    <w:rsid w:val="00740306"/>
    <w:rsid w:val="00743BDB"/>
    <w:rsid w:val="00750377"/>
    <w:rsid w:val="00756367"/>
    <w:rsid w:val="00761EE9"/>
    <w:rsid w:val="00781584"/>
    <w:rsid w:val="00786A5A"/>
    <w:rsid w:val="00787766"/>
    <w:rsid w:val="00791BB4"/>
    <w:rsid w:val="00793C78"/>
    <w:rsid w:val="007A18C6"/>
    <w:rsid w:val="007C0BB3"/>
    <w:rsid w:val="007D118F"/>
    <w:rsid w:val="007D14FD"/>
    <w:rsid w:val="007D2B8C"/>
    <w:rsid w:val="007E135E"/>
    <w:rsid w:val="007E384E"/>
    <w:rsid w:val="007F0A98"/>
    <w:rsid w:val="007F2535"/>
    <w:rsid w:val="007F302B"/>
    <w:rsid w:val="0080137D"/>
    <w:rsid w:val="00802685"/>
    <w:rsid w:val="00807F54"/>
    <w:rsid w:val="00813FA4"/>
    <w:rsid w:val="0082337E"/>
    <w:rsid w:val="00823E77"/>
    <w:rsid w:val="008262F3"/>
    <w:rsid w:val="00833DD7"/>
    <w:rsid w:val="00840B8F"/>
    <w:rsid w:val="00844297"/>
    <w:rsid w:val="0085089E"/>
    <w:rsid w:val="00852C80"/>
    <w:rsid w:val="00854780"/>
    <w:rsid w:val="0085494F"/>
    <w:rsid w:val="0085739B"/>
    <w:rsid w:val="00863472"/>
    <w:rsid w:val="008635FA"/>
    <w:rsid w:val="00866589"/>
    <w:rsid w:val="008705D0"/>
    <w:rsid w:val="00871433"/>
    <w:rsid w:val="00872CEC"/>
    <w:rsid w:val="00875515"/>
    <w:rsid w:val="00875FED"/>
    <w:rsid w:val="008770F0"/>
    <w:rsid w:val="008816E2"/>
    <w:rsid w:val="0089374B"/>
    <w:rsid w:val="008A49E0"/>
    <w:rsid w:val="008A4A0F"/>
    <w:rsid w:val="008A5047"/>
    <w:rsid w:val="008A6540"/>
    <w:rsid w:val="008B3CF9"/>
    <w:rsid w:val="008C1DFF"/>
    <w:rsid w:val="008C27FA"/>
    <w:rsid w:val="008C3A40"/>
    <w:rsid w:val="008D0C5E"/>
    <w:rsid w:val="008D0D3D"/>
    <w:rsid w:val="008D305A"/>
    <w:rsid w:val="008D30D7"/>
    <w:rsid w:val="008E4F1B"/>
    <w:rsid w:val="008E6138"/>
    <w:rsid w:val="008E6255"/>
    <w:rsid w:val="008F1684"/>
    <w:rsid w:val="008F1EC5"/>
    <w:rsid w:val="008F4CBA"/>
    <w:rsid w:val="008F7FF3"/>
    <w:rsid w:val="00901FE2"/>
    <w:rsid w:val="00910AB4"/>
    <w:rsid w:val="00922DDD"/>
    <w:rsid w:val="009310F3"/>
    <w:rsid w:val="00931505"/>
    <w:rsid w:val="009373B1"/>
    <w:rsid w:val="009406BB"/>
    <w:rsid w:val="00941DAF"/>
    <w:rsid w:val="0095084D"/>
    <w:rsid w:val="00971FA4"/>
    <w:rsid w:val="00974E6C"/>
    <w:rsid w:val="00984D0B"/>
    <w:rsid w:val="00985B89"/>
    <w:rsid w:val="00992ED3"/>
    <w:rsid w:val="009943B0"/>
    <w:rsid w:val="009A5662"/>
    <w:rsid w:val="009C4050"/>
    <w:rsid w:val="009D03BD"/>
    <w:rsid w:val="009E16A6"/>
    <w:rsid w:val="009E4DC4"/>
    <w:rsid w:val="009E660A"/>
    <w:rsid w:val="009F37FE"/>
    <w:rsid w:val="009F3BC2"/>
    <w:rsid w:val="00A0695B"/>
    <w:rsid w:val="00A10B22"/>
    <w:rsid w:val="00A12785"/>
    <w:rsid w:val="00A22ECA"/>
    <w:rsid w:val="00A23F44"/>
    <w:rsid w:val="00A25228"/>
    <w:rsid w:val="00A40007"/>
    <w:rsid w:val="00A42D54"/>
    <w:rsid w:val="00A5062F"/>
    <w:rsid w:val="00A656F2"/>
    <w:rsid w:val="00A7512E"/>
    <w:rsid w:val="00A7520D"/>
    <w:rsid w:val="00A80E50"/>
    <w:rsid w:val="00A82CAD"/>
    <w:rsid w:val="00A85B91"/>
    <w:rsid w:val="00A90ADA"/>
    <w:rsid w:val="00A92510"/>
    <w:rsid w:val="00A965CE"/>
    <w:rsid w:val="00AA3A0D"/>
    <w:rsid w:val="00AA3C33"/>
    <w:rsid w:val="00AA4D29"/>
    <w:rsid w:val="00AA6615"/>
    <w:rsid w:val="00AA6FD2"/>
    <w:rsid w:val="00AB00A7"/>
    <w:rsid w:val="00AB033B"/>
    <w:rsid w:val="00AC1313"/>
    <w:rsid w:val="00AC42D3"/>
    <w:rsid w:val="00AD4A7D"/>
    <w:rsid w:val="00AD4BC8"/>
    <w:rsid w:val="00AE35F4"/>
    <w:rsid w:val="00AE6999"/>
    <w:rsid w:val="00AE7A3E"/>
    <w:rsid w:val="00AF0B36"/>
    <w:rsid w:val="00AF0D9C"/>
    <w:rsid w:val="00AF2F0D"/>
    <w:rsid w:val="00B109D6"/>
    <w:rsid w:val="00B137FF"/>
    <w:rsid w:val="00B206ED"/>
    <w:rsid w:val="00B21D3D"/>
    <w:rsid w:val="00B221BA"/>
    <w:rsid w:val="00B22A72"/>
    <w:rsid w:val="00B247FB"/>
    <w:rsid w:val="00B25302"/>
    <w:rsid w:val="00B2781F"/>
    <w:rsid w:val="00B44CDC"/>
    <w:rsid w:val="00B53777"/>
    <w:rsid w:val="00B560A9"/>
    <w:rsid w:val="00B60C1C"/>
    <w:rsid w:val="00B706BF"/>
    <w:rsid w:val="00B75400"/>
    <w:rsid w:val="00B762EB"/>
    <w:rsid w:val="00B81E98"/>
    <w:rsid w:val="00B825E6"/>
    <w:rsid w:val="00B84527"/>
    <w:rsid w:val="00B84A08"/>
    <w:rsid w:val="00BA5B64"/>
    <w:rsid w:val="00BB1770"/>
    <w:rsid w:val="00BC2907"/>
    <w:rsid w:val="00BC2F4C"/>
    <w:rsid w:val="00BC36D0"/>
    <w:rsid w:val="00BD1B5E"/>
    <w:rsid w:val="00BD44EB"/>
    <w:rsid w:val="00BD65DF"/>
    <w:rsid w:val="00BE0F13"/>
    <w:rsid w:val="00BE1B1D"/>
    <w:rsid w:val="00BE4A86"/>
    <w:rsid w:val="00BF5600"/>
    <w:rsid w:val="00C10DE8"/>
    <w:rsid w:val="00C15ABA"/>
    <w:rsid w:val="00C261ED"/>
    <w:rsid w:val="00C276CA"/>
    <w:rsid w:val="00C4315B"/>
    <w:rsid w:val="00C4583A"/>
    <w:rsid w:val="00C56656"/>
    <w:rsid w:val="00C728F2"/>
    <w:rsid w:val="00C74220"/>
    <w:rsid w:val="00C84735"/>
    <w:rsid w:val="00C87210"/>
    <w:rsid w:val="00CA2069"/>
    <w:rsid w:val="00CA35C1"/>
    <w:rsid w:val="00CA3A6F"/>
    <w:rsid w:val="00CA6AE2"/>
    <w:rsid w:val="00CA769F"/>
    <w:rsid w:val="00CA77F1"/>
    <w:rsid w:val="00CC1551"/>
    <w:rsid w:val="00CC4C1D"/>
    <w:rsid w:val="00CC7661"/>
    <w:rsid w:val="00CD0072"/>
    <w:rsid w:val="00CD4D82"/>
    <w:rsid w:val="00CD661A"/>
    <w:rsid w:val="00CD6CE6"/>
    <w:rsid w:val="00CE6EAA"/>
    <w:rsid w:val="00D066AE"/>
    <w:rsid w:val="00D15F1E"/>
    <w:rsid w:val="00D168B3"/>
    <w:rsid w:val="00D16CF0"/>
    <w:rsid w:val="00D260F0"/>
    <w:rsid w:val="00D26514"/>
    <w:rsid w:val="00D27672"/>
    <w:rsid w:val="00D348E3"/>
    <w:rsid w:val="00D43F9B"/>
    <w:rsid w:val="00D44063"/>
    <w:rsid w:val="00D47A75"/>
    <w:rsid w:val="00D52AA0"/>
    <w:rsid w:val="00D557E9"/>
    <w:rsid w:val="00D6262C"/>
    <w:rsid w:val="00D62CF2"/>
    <w:rsid w:val="00D642B2"/>
    <w:rsid w:val="00D71A25"/>
    <w:rsid w:val="00D721D6"/>
    <w:rsid w:val="00D75FDC"/>
    <w:rsid w:val="00D8023E"/>
    <w:rsid w:val="00D810DB"/>
    <w:rsid w:val="00D829B2"/>
    <w:rsid w:val="00D82EA9"/>
    <w:rsid w:val="00D83525"/>
    <w:rsid w:val="00D84D13"/>
    <w:rsid w:val="00D87434"/>
    <w:rsid w:val="00D87EBE"/>
    <w:rsid w:val="00D90A78"/>
    <w:rsid w:val="00D91D14"/>
    <w:rsid w:val="00DA1FC2"/>
    <w:rsid w:val="00DA598A"/>
    <w:rsid w:val="00DB08A5"/>
    <w:rsid w:val="00DB2A67"/>
    <w:rsid w:val="00DB71A5"/>
    <w:rsid w:val="00DC0DA6"/>
    <w:rsid w:val="00DC1D15"/>
    <w:rsid w:val="00DD4B4D"/>
    <w:rsid w:val="00DE30B2"/>
    <w:rsid w:val="00DE4AD5"/>
    <w:rsid w:val="00DE6119"/>
    <w:rsid w:val="00DF5619"/>
    <w:rsid w:val="00DF5C59"/>
    <w:rsid w:val="00DF7127"/>
    <w:rsid w:val="00E00503"/>
    <w:rsid w:val="00E02371"/>
    <w:rsid w:val="00E0433B"/>
    <w:rsid w:val="00E13325"/>
    <w:rsid w:val="00E150FC"/>
    <w:rsid w:val="00E172DA"/>
    <w:rsid w:val="00E27F1D"/>
    <w:rsid w:val="00E321DC"/>
    <w:rsid w:val="00E32EC3"/>
    <w:rsid w:val="00E35FBD"/>
    <w:rsid w:val="00E3638A"/>
    <w:rsid w:val="00E42237"/>
    <w:rsid w:val="00E451D3"/>
    <w:rsid w:val="00E47DD8"/>
    <w:rsid w:val="00E55718"/>
    <w:rsid w:val="00E56594"/>
    <w:rsid w:val="00E56DE1"/>
    <w:rsid w:val="00E57880"/>
    <w:rsid w:val="00E61051"/>
    <w:rsid w:val="00E669C9"/>
    <w:rsid w:val="00E709FA"/>
    <w:rsid w:val="00E71CE9"/>
    <w:rsid w:val="00E74F8D"/>
    <w:rsid w:val="00E75756"/>
    <w:rsid w:val="00E86E6D"/>
    <w:rsid w:val="00E91315"/>
    <w:rsid w:val="00E926E5"/>
    <w:rsid w:val="00E940F1"/>
    <w:rsid w:val="00E94250"/>
    <w:rsid w:val="00EA22B1"/>
    <w:rsid w:val="00EB54F0"/>
    <w:rsid w:val="00EC39F1"/>
    <w:rsid w:val="00EC4F06"/>
    <w:rsid w:val="00ED0738"/>
    <w:rsid w:val="00ED6619"/>
    <w:rsid w:val="00ED7868"/>
    <w:rsid w:val="00EE6126"/>
    <w:rsid w:val="00EF3CAD"/>
    <w:rsid w:val="00F00E2F"/>
    <w:rsid w:val="00F0412C"/>
    <w:rsid w:val="00F1051B"/>
    <w:rsid w:val="00F16441"/>
    <w:rsid w:val="00F25622"/>
    <w:rsid w:val="00F278D5"/>
    <w:rsid w:val="00F27CD1"/>
    <w:rsid w:val="00F30626"/>
    <w:rsid w:val="00F316B3"/>
    <w:rsid w:val="00F36B1A"/>
    <w:rsid w:val="00F42E67"/>
    <w:rsid w:val="00F45FFA"/>
    <w:rsid w:val="00F478D3"/>
    <w:rsid w:val="00F533E1"/>
    <w:rsid w:val="00F54319"/>
    <w:rsid w:val="00F57E4C"/>
    <w:rsid w:val="00F62CBB"/>
    <w:rsid w:val="00F646AE"/>
    <w:rsid w:val="00F726EC"/>
    <w:rsid w:val="00F72D00"/>
    <w:rsid w:val="00F73136"/>
    <w:rsid w:val="00F77E87"/>
    <w:rsid w:val="00F80E5C"/>
    <w:rsid w:val="00F835D0"/>
    <w:rsid w:val="00F8372C"/>
    <w:rsid w:val="00F9095B"/>
    <w:rsid w:val="00F952FF"/>
    <w:rsid w:val="00FA0613"/>
    <w:rsid w:val="00FA13DB"/>
    <w:rsid w:val="00FB57A9"/>
    <w:rsid w:val="00FC1C2B"/>
    <w:rsid w:val="00FC4132"/>
    <w:rsid w:val="00FC7644"/>
    <w:rsid w:val="00FD03C2"/>
    <w:rsid w:val="00FD243E"/>
    <w:rsid w:val="00FD5C75"/>
    <w:rsid w:val="00FE5706"/>
    <w:rsid w:val="00FE6764"/>
    <w:rsid w:val="00FF155A"/>
    <w:rsid w:val="00FF16AF"/>
    <w:rsid w:val="00FF1D66"/>
    <w:rsid w:val="00FF2839"/>
    <w:rsid w:val="00FF7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8396"/>
  <w15:docId w15:val="{4D6C4C95-727B-473B-98EA-AF925A80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7D0A"/>
    <w:pPr>
      <w:spacing w:after="200" w:line="276" w:lineRule="auto"/>
    </w:pPr>
    <w:rPr>
      <w:rFonts w:ascii="Arial" w:eastAsia="Calibri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7B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34211F"/>
    <w:pPr>
      <w:numPr>
        <w:numId w:val="1"/>
      </w:numPr>
      <w:spacing w:before="360" w:after="360"/>
      <w:ind w:left="714" w:hanging="357"/>
      <w:jc w:val="both"/>
      <w:outlineLvl w:val="1"/>
    </w:pPr>
    <w:rPr>
      <w:b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D8023E"/>
    <w:pPr>
      <w:numPr>
        <w:numId w:val="0"/>
      </w:numPr>
      <w:ind w:left="567"/>
      <w:outlineLvl w:val="2"/>
    </w:pPr>
    <w:rPr>
      <w:rFonts w:ascii="Calibri" w:hAnsi="Calibri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B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F7B72"/>
    <w:pPr>
      <w:spacing w:line="259" w:lineRule="auto"/>
      <w:outlineLvl w:val="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023E"/>
    <w:rPr>
      <w:rFonts w:ascii="Calibri" w:eastAsia="Calibri" w:hAnsi="Calibri" w:cs="Times New Roman"/>
      <w:b/>
      <w:sz w:val="24"/>
    </w:rPr>
  </w:style>
  <w:style w:type="paragraph" w:styleId="Spistreci1">
    <w:name w:val="toc 1"/>
    <w:basedOn w:val="Normalny"/>
    <w:next w:val="Normalny"/>
    <w:autoRedefine/>
    <w:uiPriority w:val="39"/>
    <w:unhideWhenUsed/>
    <w:rsid w:val="006F7B72"/>
    <w:pPr>
      <w:spacing w:after="100"/>
    </w:pPr>
  </w:style>
  <w:style w:type="character" w:customStyle="1" w:styleId="Nagwek2Znak">
    <w:name w:val="Nagłówek 2 Znak"/>
    <w:basedOn w:val="Domylnaczcionkaakapitu"/>
    <w:link w:val="Nagwek2"/>
    <w:uiPriority w:val="9"/>
    <w:rsid w:val="0034211F"/>
    <w:rPr>
      <w:rFonts w:ascii="Arial" w:eastAsia="Calibri" w:hAnsi="Arial" w:cs="Times New Roman"/>
      <w:b/>
    </w:rPr>
  </w:style>
  <w:style w:type="paragraph" w:styleId="Akapitzlist">
    <w:name w:val="List Paragraph"/>
    <w:aliases w:val="sw tekst,L1,Numerowanie,Akapit z listą BS,Bulleted list,Akapit z listą5,Odstavec,CW_Lista,lp1,Preambuła,Colorful Shading - Accent 31,Light List - Accent 51,Akapit normalny,List Paragraph2,normalny tekst,Colorful List Accent,BulletC,Obiekt"/>
    <w:basedOn w:val="Normalny"/>
    <w:link w:val="AkapitzlistZnak"/>
    <w:uiPriority w:val="34"/>
    <w:qFormat/>
    <w:rsid w:val="00ED78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D786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089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089C"/>
    <w:rPr>
      <w:rFonts w:ascii="Arial" w:eastAsia="Calibri" w:hAnsi="Arial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089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400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B75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400"/>
    <w:rPr>
      <w:rFonts w:ascii="Arial" w:eastAsia="Calibri" w:hAnsi="Arial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B75400"/>
    <w:pPr>
      <w:spacing w:after="100"/>
      <w:ind w:left="2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A0D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72D00"/>
    <w:rPr>
      <w:b/>
      <w:bCs/>
    </w:rPr>
  </w:style>
  <w:style w:type="character" w:customStyle="1" w:styleId="charoverride-9">
    <w:name w:val="charoverride-9"/>
    <w:basedOn w:val="Domylnaczcionkaakapitu"/>
    <w:rsid w:val="00F72D00"/>
  </w:style>
  <w:style w:type="paragraph" w:styleId="NormalnyWeb">
    <w:name w:val="Normal (Web)"/>
    <w:basedOn w:val="Normalny"/>
    <w:uiPriority w:val="99"/>
    <w:unhideWhenUsed/>
    <w:rsid w:val="007E13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61B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161BE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161BE"/>
    <w:rPr>
      <w:vertAlign w:val="superscript"/>
    </w:rPr>
  </w:style>
  <w:style w:type="paragraph" w:customStyle="1" w:styleId="Default">
    <w:name w:val="Default"/>
    <w:rsid w:val="004B42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03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503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50335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3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335"/>
    <w:rPr>
      <w:rFonts w:ascii="Arial" w:eastAsia="Calibri" w:hAnsi="Arial" w:cs="Times New Roman"/>
      <w:b/>
      <w:bCs/>
      <w:sz w:val="20"/>
      <w:szCs w:val="20"/>
    </w:rPr>
  </w:style>
  <w:style w:type="character" w:customStyle="1" w:styleId="AkapitzlistZnak">
    <w:name w:val="Akapit z listą Znak"/>
    <w:aliases w:val="sw tekst Znak,L1 Znak,Numerowanie Znak,Akapit z listą BS Znak,Bulleted list Znak,Akapit z listą5 Znak,Odstavec Znak,CW_Lista Znak,lp1 Znak,Preambuła Znak,Colorful Shading - Accent 31 Znak,Light List - Accent 51 Znak,BulletC Znak"/>
    <w:link w:val="Akapitzlist"/>
    <w:uiPriority w:val="34"/>
    <w:qFormat/>
    <w:rsid w:val="002B224E"/>
    <w:rPr>
      <w:rFonts w:ascii="Arial" w:eastAsia="Calibri" w:hAnsi="Arial" w:cs="Times New Roman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42503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616E"/>
    <w:rPr>
      <w:color w:val="605E5C"/>
      <w:shd w:val="clear" w:color="auto" w:fill="E1DFDD"/>
    </w:rPr>
  </w:style>
  <w:style w:type="character" w:customStyle="1" w:styleId="Ppogrubienie">
    <w:name w:val="_P_ – pogrubienie"/>
    <w:basedOn w:val="Domylnaczcionkaakapitu"/>
    <w:uiPriority w:val="1"/>
    <w:qFormat/>
    <w:rsid w:val="002B773B"/>
    <w:rPr>
      <w:b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BF5600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BF5600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BF5600"/>
    <w:rPr>
      <w:b w:val="0"/>
      <w:i w:val="0"/>
      <w:vanish w:val="0"/>
      <w:spacing w:val="0"/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B53777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head">
    <w:name w:val="head"/>
    <w:basedOn w:val="Normalny"/>
    <w:rsid w:val="00D16C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867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3525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31">
          <w:marLeft w:val="446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C65E4-9134-4BBE-A7B2-CA509E3B4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7885</Words>
  <Characters>47313</Characters>
  <Application>Microsoft Office Word</Application>
  <DocSecurity>4</DocSecurity>
  <Lines>394</Lines>
  <Paragraphs>110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wstępnych wynikach finansowych i działalności leczniczej za 2022 rok podmiotów leczniczych, dla których Samorząd Województwa Podkarpackiego jest organem tworzącym.</vt:lpstr>
    </vt:vector>
  </TitlesOfParts>
  <Company/>
  <LinksUpToDate>false</LinksUpToDate>
  <CharactersWithSpaces>55088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wstępnych wynikach finansowych i działalności leczniczej za 2022 rok podmiotów leczniczych, dla których Samorząd Województwa Podkarpackiego jest organem tworzącym.</dc:title>
  <dc:subject/>
  <dc:creator>Arkadiusz Kocur</dc:creator>
  <cp:keywords/>
  <dc:description/>
  <cp:lastModifiedBy>Nowicka Joanna</cp:lastModifiedBy>
  <cp:revision>2</cp:revision>
  <cp:lastPrinted>2024-04-12T10:13:00Z</cp:lastPrinted>
  <dcterms:created xsi:type="dcterms:W3CDTF">2024-04-12T12:29:00Z</dcterms:created>
  <dcterms:modified xsi:type="dcterms:W3CDTF">2024-04-12T12:29:00Z</dcterms:modified>
</cp:coreProperties>
</file>